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D7C8" w14:textId="0B81B87E" w:rsidR="00BF08C0" w:rsidRPr="007D1BC1" w:rsidRDefault="002170B5" w:rsidP="00BF08C0">
      <w:pPr>
        <w:pStyle w:val="Titre1"/>
        <w:jc w:val="center"/>
        <w:rPr>
          <w:color w:val="000000" w:themeColor="text1"/>
          <w:sz w:val="20"/>
          <w:szCs w:val="20"/>
        </w:rPr>
      </w:pPr>
      <w:bookmarkStart w:id="0" w:name="_Toc34988846"/>
      <w:bookmarkStart w:id="1" w:name="_Toc528596354"/>
      <w:bookmarkStart w:id="2" w:name="_Toc19261774"/>
      <w:r>
        <w:rPr>
          <w:color w:val="000000" w:themeColor="text1"/>
          <w:sz w:val="20"/>
          <w:szCs w:val="20"/>
        </w:rPr>
        <w:t>Procédure adaptée ouverte pour l’attribution d’un m</w:t>
      </w:r>
      <w:r w:rsidR="009043BA" w:rsidRPr="007D1BC1">
        <w:rPr>
          <w:color w:val="000000" w:themeColor="text1"/>
          <w:sz w:val="20"/>
          <w:szCs w:val="20"/>
        </w:rPr>
        <w:t>arché public</w:t>
      </w:r>
      <w:r w:rsidR="00BF08C0" w:rsidRPr="007D1BC1">
        <w:rPr>
          <w:color w:val="000000" w:themeColor="text1"/>
          <w:sz w:val="20"/>
          <w:szCs w:val="20"/>
        </w:rPr>
        <w:t xml:space="preserve"> </w:t>
      </w:r>
      <w:r w:rsidR="004D3EF2">
        <w:rPr>
          <w:color w:val="000000" w:themeColor="text1"/>
          <w:sz w:val="20"/>
          <w:szCs w:val="20"/>
        </w:rPr>
        <w:t xml:space="preserve">de </w:t>
      </w:r>
      <w:r w:rsidR="00BF08C0" w:rsidRPr="007D1BC1">
        <w:rPr>
          <w:color w:val="000000" w:themeColor="text1"/>
          <w:sz w:val="20"/>
          <w:szCs w:val="20"/>
        </w:rPr>
        <w:t>prestations intellectuelles</w:t>
      </w:r>
    </w:p>
    <w:p w14:paraId="47EB0DDD" w14:textId="77777777" w:rsidR="00BF08C0" w:rsidRPr="007D1BC1" w:rsidRDefault="00BF08C0" w:rsidP="00BF08C0"/>
    <w:p w14:paraId="1F7FBAF1" w14:textId="0718FF90" w:rsidR="00BF08C0" w:rsidRPr="007D1BC1" w:rsidRDefault="00BF08C0" w:rsidP="00BF08C0">
      <w:pPr>
        <w:pStyle w:val="Titre1"/>
        <w:jc w:val="center"/>
      </w:pPr>
      <w:r w:rsidRPr="007D1BC1">
        <w:t>Règlement de consultation</w:t>
      </w:r>
    </w:p>
    <w:p w14:paraId="0233795C" w14:textId="77777777" w:rsidR="00BF08C0" w:rsidRPr="007D1BC1" w:rsidRDefault="00BF08C0" w:rsidP="00BF08C0"/>
    <w:p w14:paraId="0BC36EAE" w14:textId="77777777" w:rsidR="00BF08C0" w:rsidRPr="007D1BC1" w:rsidRDefault="00BF08C0" w:rsidP="00BF08C0"/>
    <w:p w14:paraId="6379BBCA" w14:textId="31145BF5" w:rsidR="00BF08C0" w:rsidRPr="007D1BC1" w:rsidRDefault="009043BA" w:rsidP="00BF08C0">
      <w:pPr>
        <w:pStyle w:val="Titre2"/>
        <w:jc w:val="center"/>
      </w:pPr>
      <w:r w:rsidRPr="007D1BC1">
        <w:t>ELABORATION D’UN PLAN-GUIDE</w:t>
      </w:r>
      <w:r w:rsidR="00896456">
        <w:t xml:space="preserve"> </w:t>
      </w:r>
      <w:r w:rsidR="002170B5">
        <w:t>communal</w:t>
      </w:r>
    </w:p>
    <w:p w14:paraId="50261627" w14:textId="0609F9E1" w:rsidR="00BF08C0" w:rsidRPr="007D1BC1" w:rsidRDefault="00BF08C0" w:rsidP="00BF08C0"/>
    <w:p w14:paraId="47C3D43A" w14:textId="341205E6" w:rsidR="00BF08C0" w:rsidRPr="007D1BC1" w:rsidRDefault="00BF08C0" w:rsidP="00BF08C0"/>
    <w:p w14:paraId="5A88F694" w14:textId="77777777" w:rsidR="00BF08C0" w:rsidRPr="007D1BC1" w:rsidRDefault="00BF08C0" w:rsidP="00BF08C0">
      <w:pPr>
        <w:pStyle w:val="Titre2"/>
      </w:pPr>
      <w:r w:rsidRPr="007D1BC1">
        <w:t>Acheteur</w:t>
      </w:r>
      <w:r w:rsidRPr="007D1BC1">
        <w:tab/>
      </w:r>
    </w:p>
    <w:p w14:paraId="70DDECA9" w14:textId="5C66892D" w:rsidR="00BF08C0" w:rsidRPr="007D1BC1" w:rsidRDefault="00BF08C0" w:rsidP="00A17AAF">
      <w:pPr>
        <w:spacing w:after="120"/>
        <w:jc w:val="both"/>
        <w:rPr>
          <w:rFonts w:cs="Arial"/>
          <w:szCs w:val="19"/>
        </w:rPr>
      </w:pPr>
      <w:r w:rsidRPr="007B7A15">
        <w:rPr>
          <w:rFonts w:cs="Arial"/>
          <w:szCs w:val="19"/>
          <w:shd w:val="clear" w:color="auto" w:fill="95B3D7" w:themeFill="accent1" w:themeFillTint="99"/>
        </w:rPr>
        <w:t>[Nom de la collectivité]</w:t>
      </w:r>
      <w:r w:rsidRPr="007D1BC1">
        <w:rPr>
          <w:rFonts w:cs="Arial"/>
          <w:szCs w:val="19"/>
        </w:rPr>
        <w:t> </w:t>
      </w:r>
    </w:p>
    <w:p w14:paraId="53686934" w14:textId="22EF6270" w:rsidR="00BF08C0" w:rsidRPr="007D1BC1" w:rsidRDefault="00BF08C0" w:rsidP="00A17AAF">
      <w:pPr>
        <w:spacing w:after="120" w:line="240" w:lineRule="auto"/>
        <w:rPr>
          <w:rFonts w:cs="Arial"/>
          <w:szCs w:val="19"/>
          <w:shd w:val="clear" w:color="auto" w:fill="95B3D7" w:themeFill="accent1" w:themeFillTint="99"/>
        </w:rPr>
      </w:pPr>
      <w:r w:rsidRPr="007D1BC1">
        <w:rPr>
          <w:rFonts w:cs="Arial"/>
          <w:szCs w:val="19"/>
        </w:rPr>
        <w:t xml:space="preserve">Adresse : </w:t>
      </w:r>
      <w:r w:rsidRPr="007B7A15">
        <w:rPr>
          <w:rFonts w:cs="Arial"/>
          <w:szCs w:val="19"/>
          <w:shd w:val="clear" w:color="auto" w:fill="95B3D7" w:themeFill="accent1" w:themeFillTint="99"/>
        </w:rPr>
        <w:t>………………………………………………………………………………………………</w:t>
      </w:r>
    </w:p>
    <w:p w14:paraId="36C4DB61" w14:textId="161FB110" w:rsidR="00BF08C0" w:rsidRPr="007D1BC1" w:rsidRDefault="00BF08C0" w:rsidP="00A17AAF">
      <w:pPr>
        <w:spacing w:after="120" w:line="240" w:lineRule="auto"/>
        <w:rPr>
          <w:rFonts w:cs="Arial"/>
          <w:szCs w:val="19"/>
          <w:shd w:val="clear" w:color="auto" w:fill="DBE5F1" w:themeFill="accent1" w:themeFillTint="33"/>
        </w:rPr>
      </w:pPr>
      <w:r w:rsidRPr="007D1BC1">
        <w:rPr>
          <w:rFonts w:cs="Arial"/>
          <w:szCs w:val="19"/>
        </w:rPr>
        <w:t xml:space="preserve">Site internet de la collectivité : </w:t>
      </w:r>
      <w:r w:rsidRPr="007B7A15">
        <w:rPr>
          <w:rFonts w:cs="Arial"/>
          <w:szCs w:val="19"/>
          <w:shd w:val="clear" w:color="auto" w:fill="95B3D7" w:themeFill="accent1" w:themeFillTint="99"/>
        </w:rPr>
        <w:t>………………………………………</w:t>
      </w:r>
      <w:r w:rsidR="00A17AAF" w:rsidRPr="007B7A15">
        <w:rPr>
          <w:rFonts w:cs="Arial"/>
          <w:szCs w:val="19"/>
          <w:shd w:val="clear" w:color="auto" w:fill="95B3D7" w:themeFill="accent1" w:themeFillTint="99"/>
        </w:rPr>
        <w:t>……………………</w:t>
      </w:r>
    </w:p>
    <w:p w14:paraId="0D331BFA" w14:textId="58D862C4" w:rsidR="00BF08C0" w:rsidRPr="007D1BC1" w:rsidRDefault="00A17AAF" w:rsidP="00A17AAF">
      <w:pPr>
        <w:spacing w:after="120" w:line="240" w:lineRule="auto"/>
        <w:rPr>
          <w:rFonts w:cs="Arial"/>
          <w:szCs w:val="19"/>
          <w:shd w:val="clear" w:color="auto" w:fill="DBE5F1" w:themeFill="accent1" w:themeFillTint="33"/>
        </w:rPr>
      </w:pPr>
      <w:r w:rsidRPr="007D1BC1">
        <w:rPr>
          <w:rFonts w:cs="Arial"/>
          <w:szCs w:val="19"/>
        </w:rPr>
        <w:t>URL profil acheteur</w:t>
      </w:r>
      <w:r w:rsidR="00BF08C0" w:rsidRPr="007D1BC1">
        <w:rPr>
          <w:rFonts w:cs="Arial"/>
          <w:szCs w:val="19"/>
        </w:rPr>
        <w:t xml:space="preserve"> : </w:t>
      </w:r>
      <w:r w:rsidR="00BF08C0" w:rsidRPr="007B7A15">
        <w:rPr>
          <w:rFonts w:cs="Arial"/>
          <w:szCs w:val="19"/>
          <w:shd w:val="clear" w:color="auto" w:fill="95B3D7" w:themeFill="accent1" w:themeFillTint="99"/>
        </w:rPr>
        <w:t>………………………………………</w:t>
      </w:r>
      <w:r w:rsidRPr="007B7A15">
        <w:rPr>
          <w:rFonts w:cs="Arial"/>
          <w:szCs w:val="19"/>
          <w:shd w:val="clear" w:color="auto" w:fill="95B3D7" w:themeFill="accent1" w:themeFillTint="99"/>
        </w:rPr>
        <w:t>……………………………………</w:t>
      </w:r>
    </w:p>
    <w:p w14:paraId="5A97D0D3" w14:textId="77777777" w:rsidR="00BF08C0" w:rsidRPr="007D1BC1" w:rsidRDefault="00BF08C0" w:rsidP="00BF08C0">
      <w:pPr>
        <w:rPr>
          <w:rFonts w:cs="Arial"/>
          <w:szCs w:val="19"/>
          <w:shd w:val="clear" w:color="auto" w:fill="DBE5F1" w:themeFill="accent1" w:themeFillTint="33"/>
        </w:rPr>
      </w:pPr>
    </w:p>
    <w:p w14:paraId="1B9CCF06" w14:textId="3A3AA70A" w:rsidR="00A17AAF" w:rsidRPr="007D1BC1" w:rsidRDefault="00A17AAF" w:rsidP="00A17AAF">
      <w:pPr>
        <w:pStyle w:val="Titre2"/>
      </w:pPr>
      <w:r w:rsidRPr="007D1BC1">
        <w:t>DATE ET HEURE DE REMISE DES PLIS</w:t>
      </w:r>
      <w:r w:rsidRPr="007D1BC1">
        <w:tab/>
      </w:r>
    </w:p>
    <w:p w14:paraId="508E2930" w14:textId="1570DB87" w:rsidR="00BF08C0" w:rsidRPr="007D1BC1" w:rsidRDefault="00A17AAF" w:rsidP="00BF08C0">
      <w:pPr>
        <w:rPr>
          <w:rFonts w:cs="Arial"/>
          <w:szCs w:val="19"/>
          <w:shd w:val="clear" w:color="auto" w:fill="DBE5F1" w:themeFill="accent1" w:themeFillTint="33"/>
        </w:rPr>
      </w:pPr>
      <w:r w:rsidRPr="007D1BC1">
        <w:rPr>
          <w:rFonts w:cs="Arial"/>
          <w:szCs w:val="19"/>
          <w:shd w:val="clear" w:color="auto" w:fill="FFFFFF" w:themeFill="background1"/>
        </w:rPr>
        <w:t xml:space="preserve">Le </w:t>
      </w:r>
      <w:r w:rsidRPr="007B7A15">
        <w:rPr>
          <w:rFonts w:cs="Arial"/>
          <w:szCs w:val="19"/>
          <w:shd w:val="clear" w:color="auto" w:fill="95B3D7" w:themeFill="accent1" w:themeFillTint="99"/>
        </w:rPr>
        <w:t>[jour]</w:t>
      </w:r>
      <w:r w:rsidRPr="007D1BC1">
        <w:rPr>
          <w:rFonts w:cs="Arial"/>
          <w:szCs w:val="19"/>
          <w:shd w:val="clear" w:color="auto" w:fill="FFFFFF" w:themeFill="background1"/>
        </w:rPr>
        <w:t xml:space="preserve"> </w:t>
      </w:r>
      <w:r w:rsidRPr="007B7A15">
        <w:rPr>
          <w:rFonts w:cs="Arial"/>
          <w:szCs w:val="19"/>
          <w:shd w:val="clear" w:color="auto" w:fill="95B3D7" w:themeFill="accent1" w:themeFillTint="99"/>
        </w:rPr>
        <w:t>[mois]</w:t>
      </w:r>
      <w:r w:rsidRPr="007D1BC1">
        <w:rPr>
          <w:rFonts w:cs="Arial"/>
          <w:szCs w:val="19"/>
          <w:shd w:val="clear" w:color="auto" w:fill="FFFFFF" w:themeFill="background1"/>
        </w:rPr>
        <w:t xml:space="preserve"> </w:t>
      </w:r>
      <w:r w:rsidRPr="007B7A15">
        <w:rPr>
          <w:rFonts w:cs="Arial"/>
          <w:szCs w:val="19"/>
          <w:shd w:val="clear" w:color="auto" w:fill="95B3D7" w:themeFill="accent1" w:themeFillTint="99"/>
        </w:rPr>
        <w:t>[année]</w:t>
      </w:r>
      <w:r w:rsidRPr="007D1BC1">
        <w:rPr>
          <w:rFonts w:cs="Arial"/>
          <w:szCs w:val="19"/>
          <w:shd w:val="clear" w:color="auto" w:fill="FFFFFF" w:themeFill="background1"/>
        </w:rPr>
        <w:t xml:space="preserve"> à </w:t>
      </w:r>
      <w:r w:rsidRPr="007B7A15">
        <w:rPr>
          <w:rFonts w:cs="Arial"/>
          <w:szCs w:val="19"/>
          <w:shd w:val="clear" w:color="auto" w:fill="95B3D7" w:themeFill="accent1" w:themeFillTint="99"/>
        </w:rPr>
        <w:t>XX h XX</w:t>
      </w:r>
      <w:r w:rsidRPr="007D1BC1">
        <w:rPr>
          <w:rFonts w:cs="Arial"/>
          <w:szCs w:val="19"/>
          <w:shd w:val="clear" w:color="auto" w:fill="DBE5F1" w:themeFill="accent1" w:themeFillTint="33"/>
        </w:rPr>
        <w:t xml:space="preserve"> </w:t>
      </w:r>
    </w:p>
    <w:p w14:paraId="3268A5C6" w14:textId="77777777" w:rsidR="00A17AAF" w:rsidRPr="007D1BC1" w:rsidRDefault="00A17AAF" w:rsidP="00BF08C0"/>
    <w:p w14:paraId="781BA757" w14:textId="77F38640" w:rsidR="00BF08C0" w:rsidRPr="007D1BC1" w:rsidRDefault="00A17AAF" w:rsidP="00A17AAF">
      <w:pPr>
        <w:jc w:val="center"/>
        <w:rPr>
          <w:sz w:val="24"/>
          <w:szCs w:val="32"/>
        </w:rPr>
      </w:pPr>
      <w:r w:rsidRPr="007D1BC1">
        <w:rPr>
          <w:sz w:val="24"/>
          <w:szCs w:val="32"/>
        </w:rPr>
        <w:t>La réponse dématérialisée à cette consultation est obligatoire</w:t>
      </w:r>
    </w:p>
    <w:p w14:paraId="0B72156F" w14:textId="77777777" w:rsidR="00BF08C0" w:rsidRPr="007D1BC1" w:rsidRDefault="00BF08C0">
      <w:pPr>
        <w:rPr>
          <w:rFonts w:eastAsia="Times New Roman" w:cs="Times New Roman"/>
          <w:b/>
          <w:bCs/>
          <w:caps/>
          <w:color w:val="000000" w:themeColor="text1"/>
          <w:sz w:val="24"/>
          <w:szCs w:val="26"/>
        </w:rPr>
      </w:pPr>
      <w:bookmarkStart w:id="3" w:name="_Toc34988847"/>
      <w:bookmarkStart w:id="4" w:name="_Toc43826765"/>
      <w:bookmarkEnd w:id="0"/>
      <w:r w:rsidRPr="007D1BC1">
        <w:br w:type="page"/>
      </w:r>
    </w:p>
    <w:p w14:paraId="16109C15" w14:textId="31FA9755" w:rsidR="00750F12" w:rsidRPr="007D1BC1" w:rsidRDefault="00750F12" w:rsidP="00750F12">
      <w:pPr>
        <w:pStyle w:val="Titre2"/>
      </w:pPr>
      <w:r w:rsidRPr="007D1BC1">
        <w:lastRenderedPageBreak/>
        <w:t xml:space="preserve">Article </w:t>
      </w:r>
      <w:r w:rsidR="00BF08C0" w:rsidRPr="007D1BC1">
        <w:t>1</w:t>
      </w:r>
      <w:r w:rsidRPr="007D1BC1">
        <w:t xml:space="preserve"> – </w:t>
      </w:r>
      <w:bookmarkEnd w:id="3"/>
      <w:bookmarkEnd w:id="4"/>
      <w:r w:rsidR="00007319" w:rsidRPr="007D1BC1">
        <w:t>objet de la consultation</w:t>
      </w:r>
      <w:r w:rsidRPr="007D1BC1">
        <w:t xml:space="preserve"> </w:t>
      </w:r>
    </w:p>
    <w:p w14:paraId="5B24142E" w14:textId="2815EFF7" w:rsidR="00937B36" w:rsidRPr="007D1BC1" w:rsidRDefault="00937B36" w:rsidP="00937B36">
      <w:pPr>
        <w:pStyle w:val="Titre4"/>
      </w:pPr>
      <w:r w:rsidRPr="007D1BC1">
        <w:t xml:space="preserve">Article </w:t>
      </w:r>
      <w:r w:rsidR="00BF08C0" w:rsidRPr="007D1BC1">
        <w:t>1</w:t>
      </w:r>
      <w:r w:rsidRPr="007D1BC1">
        <w:t>.1 – Prestations attendues</w:t>
      </w:r>
    </w:p>
    <w:p w14:paraId="339BE51D" w14:textId="4034FDC5" w:rsidR="00937B36" w:rsidRDefault="00937B36" w:rsidP="00937B36">
      <w:r w:rsidRPr="007D1BC1">
        <w:t xml:space="preserve">La présente consultation </w:t>
      </w:r>
      <w:r w:rsidR="00E721B1" w:rsidRPr="007D1BC1">
        <w:t>concerne</w:t>
      </w:r>
      <w:r w:rsidRPr="007D1BC1">
        <w:t xml:space="preserve"> des prestations </w:t>
      </w:r>
      <w:r w:rsidR="00B6698C" w:rsidRPr="007D1BC1">
        <w:t xml:space="preserve">d’études urbaines visant à l’élaboration d’un plan-guide </w:t>
      </w:r>
      <w:r w:rsidR="002170B5">
        <w:t>communal pour</w:t>
      </w:r>
      <w:r w:rsidR="00B6698C" w:rsidRPr="007D1BC1">
        <w:t xml:space="preserve">  </w:t>
      </w:r>
      <w:r w:rsidR="00B6698C" w:rsidRPr="007B7A15">
        <w:rPr>
          <w:szCs w:val="19"/>
          <w:shd w:val="clear" w:color="auto" w:fill="95B3D7" w:themeFill="accent1" w:themeFillTint="99"/>
        </w:rPr>
        <w:t>Désigner la commune</w:t>
      </w:r>
      <w:r w:rsidRPr="007D1BC1">
        <w:t xml:space="preserve"> dont les caractéristiques détaillées sont définies </w:t>
      </w:r>
      <w:r w:rsidR="004D3EF2">
        <w:t>le</w:t>
      </w:r>
      <w:r w:rsidRPr="007D1BC1">
        <w:t xml:space="preserve"> cahier des clauses particulières.</w:t>
      </w:r>
    </w:p>
    <w:p w14:paraId="4BF838D2" w14:textId="100DAC0B" w:rsidR="002170B5" w:rsidRPr="007D1BC1" w:rsidRDefault="002170B5" w:rsidP="00937B36">
      <w:r w:rsidRPr="00B60342">
        <w:rPr>
          <w:rFonts w:cs="Arial"/>
          <w:color w:val="000000" w:themeColor="text1"/>
          <w:szCs w:val="19"/>
        </w:rPr>
        <w:t xml:space="preserve">Le plan-guide </w:t>
      </w:r>
      <w:r>
        <w:rPr>
          <w:rFonts w:cs="Arial"/>
          <w:color w:val="000000" w:themeColor="text1"/>
          <w:szCs w:val="19"/>
        </w:rPr>
        <w:t xml:space="preserve">communal </w:t>
      </w:r>
      <w:r w:rsidRPr="00B60342">
        <w:rPr>
          <w:rFonts w:cs="Arial"/>
          <w:color w:val="000000" w:themeColor="text1"/>
          <w:szCs w:val="19"/>
        </w:rPr>
        <w:t xml:space="preserve">est un outil stratégique et évolutif de gestion urbaine qui doit permettre à la commune de définir </w:t>
      </w:r>
      <w:r>
        <w:rPr>
          <w:rFonts w:cs="Arial"/>
          <w:color w:val="000000" w:themeColor="text1"/>
          <w:szCs w:val="19"/>
        </w:rPr>
        <w:t xml:space="preserve">sa vision et </w:t>
      </w:r>
      <w:r w:rsidRPr="00B60342">
        <w:rPr>
          <w:rFonts w:cs="Arial"/>
          <w:color w:val="000000" w:themeColor="text1"/>
          <w:szCs w:val="19"/>
        </w:rPr>
        <w:t>les axes structurants de son</w:t>
      </w:r>
      <w:r>
        <w:rPr>
          <w:rFonts w:cs="Arial"/>
          <w:color w:val="000000" w:themeColor="text1"/>
          <w:szCs w:val="19"/>
        </w:rPr>
        <w:t xml:space="preserve"> évolution</w:t>
      </w:r>
      <w:r w:rsidRPr="00B60342">
        <w:rPr>
          <w:rFonts w:cs="Arial"/>
          <w:color w:val="000000" w:themeColor="text1"/>
          <w:szCs w:val="19"/>
        </w:rPr>
        <w:t xml:space="preserve"> urbain</w:t>
      </w:r>
      <w:r>
        <w:rPr>
          <w:rFonts w:cs="Arial"/>
          <w:color w:val="000000" w:themeColor="text1"/>
          <w:szCs w:val="19"/>
        </w:rPr>
        <w:t>e</w:t>
      </w:r>
      <w:r w:rsidRPr="00B60342">
        <w:rPr>
          <w:rFonts w:cs="Arial"/>
          <w:color w:val="000000" w:themeColor="text1"/>
          <w:szCs w:val="19"/>
        </w:rPr>
        <w:t>.</w:t>
      </w:r>
    </w:p>
    <w:p w14:paraId="692FC9E6" w14:textId="6CA0073A" w:rsidR="0029641E" w:rsidRPr="007D1BC1" w:rsidRDefault="0029641E" w:rsidP="00937B36">
      <w:r w:rsidRPr="007D1BC1">
        <w:t>En application du vocabulaire commun des marchés européens, les prestations sont classées selon les codes CPV suivants :</w:t>
      </w:r>
    </w:p>
    <w:p w14:paraId="349DEAE1" w14:textId="539304C2" w:rsidR="0029641E" w:rsidRPr="007D1BC1" w:rsidRDefault="0029641E" w:rsidP="008938B3">
      <w:pPr>
        <w:pStyle w:val="Paragraphedeliste"/>
        <w:numPr>
          <w:ilvl w:val="0"/>
          <w:numId w:val="3"/>
        </w:numPr>
      </w:pPr>
      <w:r w:rsidRPr="007D1BC1">
        <w:t>71410000-5 : Services d’urbanisme</w:t>
      </w:r>
    </w:p>
    <w:p w14:paraId="4A2A785E" w14:textId="620D968E" w:rsidR="00B6698C" w:rsidRPr="007D1BC1" w:rsidRDefault="00B6698C" w:rsidP="00B6698C">
      <w:pPr>
        <w:pStyle w:val="Paragraphedeliste"/>
        <w:numPr>
          <w:ilvl w:val="0"/>
          <w:numId w:val="3"/>
        </w:numPr>
      </w:pPr>
      <w:r w:rsidRPr="007D1BC1">
        <w:t xml:space="preserve">71210000-3 : Services de conseil en architecture </w:t>
      </w:r>
    </w:p>
    <w:p w14:paraId="68331001" w14:textId="2D0639BF" w:rsidR="00937B36" w:rsidRPr="007D1BC1" w:rsidRDefault="00937B36" w:rsidP="00937B36">
      <w:pPr>
        <w:pStyle w:val="Titre4"/>
      </w:pPr>
      <w:r w:rsidRPr="007D1BC1">
        <w:t xml:space="preserve">Article </w:t>
      </w:r>
      <w:r w:rsidR="00BF08C0" w:rsidRPr="007D1BC1">
        <w:t>1</w:t>
      </w:r>
      <w:r w:rsidRPr="007D1BC1">
        <w:t xml:space="preserve">.2 – Forme </w:t>
      </w:r>
      <w:r w:rsidR="00E721B1" w:rsidRPr="007D1BC1">
        <w:t xml:space="preserve">et durée </w:t>
      </w:r>
      <w:r w:rsidRPr="007D1BC1">
        <w:t xml:space="preserve">du </w:t>
      </w:r>
      <w:r w:rsidR="00B6698C" w:rsidRPr="007D1BC1">
        <w:t>marché</w:t>
      </w:r>
    </w:p>
    <w:p w14:paraId="206E0CBE" w14:textId="77777777" w:rsidR="00B6698C" w:rsidRPr="00285F59" w:rsidRDefault="00E721B1" w:rsidP="00750F12">
      <w:pPr>
        <w:rPr>
          <w:color w:val="000000" w:themeColor="text1"/>
        </w:rPr>
      </w:pPr>
      <w:r w:rsidRPr="00285F59">
        <w:rPr>
          <w:color w:val="000000" w:themeColor="text1"/>
        </w:rPr>
        <w:t>La consultation porte sur l’attribution</w:t>
      </w:r>
      <w:r w:rsidR="00007319" w:rsidRPr="00285F59">
        <w:rPr>
          <w:color w:val="000000" w:themeColor="text1"/>
        </w:rPr>
        <w:t xml:space="preserve"> d’un </w:t>
      </w:r>
      <w:r w:rsidR="00B6698C" w:rsidRPr="00285F59">
        <w:rPr>
          <w:color w:val="000000" w:themeColor="text1"/>
        </w:rPr>
        <w:t xml:space="preserve">marché public organisé en 3 phases : </w:t>
      </w:r>
    </w:p>
    <w:p w14:paraId="644C42D0" w14:textId="300065FE" w:rsidR="00B6698C" w:rsidRPr="00285F59" w:rsidRDefault="00B6698C" w:rsidP="00B6698C">
      <w:pPr>
        <w:pStyle w:val="Paragraphedeliste"/>
        <w:numPr>
          <w:ilvl w:val="0"/>
          <w:numId w:val="9"/>
        </w:numPr>
        <w:rPr>
          <w:color w:val="000000" w:themeColor="text1"/>
        </w:rPr>
      </w:pPr>
      <w:r w:rsidRPr="00285F59">
        <w:rPr>
          <w:color w:val="000000" w:themeColor="text1"/>
        </w:rPr>
        <w:t xml:space="preserve">Diagnostic </w:t>
      </w:r>
      <w:r w:rsidR="002170B5">
        <w:rPr>
          <w:color w:val="000000" w:themeColor="text1"/>
        </w:rPr>
        <w:t>stratégique de territoire</w:t>
      </w:r>
    </w:p>
    <w:p w14:paraId="23A0B3B4" w14:textId="60B97E61" w:rsidR="00B6698C" w:rsidRPr="00285F59" w:rsidRDefault="00285F59" w:rsidP="00B6698C">
      <w:pPr>
        <w:pStyle w:val="Paragraphedeliste"/>
        <w:numPr>
          <w:ilvl w:val="0"/>
          <w:numId w:val="9"/>
        </w:numPr>
        <w:rPr>
          <w:color w:val="000000" w:themeColor="text1"/>
        </w:rPr>
      </w:pPr>
      <w:r>
        <w:rPr>
          <w:color w:val="000000" w:themeColor="text1"/>
        </w:rPr>
        <w:t>Proposition stratégique</w:t>
      </w:r>
      <w:r w:rsidR="002170B5">
        <w:rPr>
          <w:color w:val="000000" w:themeColor="text1"/>
        </w:rPr>
        <w:t xml:space="preserve"> d’aménagement</w:t>
      </w:r>
    </w:p>
    <w:p w14:paraId="116AFFEA" w14:textId="2218ABA4" w:rsidR="00B6698C" w:rsidRPr="00285F59" w:rsidRDefault="00B6698C" w:rsidP="00B6698C">
      <w:pPr>
        <w:pStyle w:val="Paragraphedeliste"/>
        <w:numPr>
          <w:ilvl w:val="0"/>
          <w:numId w:val="9"/>
        </w:numPr>
        <w:rPr>
          <w:color w:val="000000" w:themeColor="text1"/>
        </w:rPr>
      </w:pPr>
      <w:r w:rsidRPr="00285F59">
        <w:rPr>
          <w:color w:val="000000" w:themeColor="text1"/>
        </w:rPr>
        <w:t>Finalisation du plan-guide</w:t>
      </w:r>
      <w:r w:rsidR="002170B5">
        <w:rPr>
          <w:color w:val="000000" w:themeColor="text1"/>
        </w:rPr>
        <w:t xml:space="preserve"> communal</w:t>
      </w:r>
    </w:p>
    <w:p w14:paraId="6AF921D1" w14:textId="77777777" w:rsidR="00285F59" w:rsidRDefault="00285F59" w:rsidP="00B6698C">
      <w:pPr>
        <w:jc w:val="both"/>
        <w:rPr>
          <w:color w:val="000000" w:themeColor="text1"/>
        </w:rPr>
      </w:pPr>
      <w:r>
        <w:rPr>
          <w:color w:val="000000" w:themeColor="text1"/>
        </w:rPr>
        <w:t xml:space="preserve">Ces phases seront réalisées dans une dynamique de concertation avec les élus, le public et les partenaires. </w:t>
      </w:r>
    </w:p>
    <w:p w14:paraId="20E1463B" w14:textId="58870F03" w:rsidR="00B6698C" w:rsidRPr="00285F59" w:rsidRDefault="00B6698C" w:rsidP="00B6698C">
      <w:pPr>
        <w:jc w:val="both"/>
        <w:rPr>
          <w:color w:val="000000" w:themeColor="text1"/>
        </w:rPr>
      </w:pPr>
      <w:r w:rsidRPr="00285F59">
        <w:rPr>
          <w:color w:val="000000" w:themeColor="text1"/>
        </w:rPr>
        <w:t xml:space="preserve">La durée globale prévisionnelle d’exécution du marché est estimée </w:t>
      </w:r>
      <w:r w:rsidR="002170B5">
        <w:rPr>
          <w:color w:val="000000" w:themeColor="text1"/>
        </w:rPr>
        <w:t>à au moins 12 mois</w:t>
      </w:r>
      <w:r w:rsidR="00285F59">
        <w:rPr>
          <w:color w:val="000000" w:themeColor="text1"/>
        </w:rPr>
        <w:t xml:space="preserve">. </w:t>
      </w:r>
    </w:p>
    <w:p w14:paraId="30626C2B" w14:textId="34EB0D82" w:rsidR="005266BD" w:rsidRPr="00285F59" w:rsidRDefault="005266BD" w:rsidP="00B6698C">
      <w:pPr>
        <w:jc w:val="both"/>
        <w:rPr>
          <w:color w:val="000000" w:themeColor="text1"/>
        </w:rPr>
      </w:pPr>
      <w:r w:rsidRPr="00285F59">
        <w:rPr>
          <w:color w:val="000000" w:themeColor="text1"/>
        </w:rPr>
        <w:t xml:space="preserve">Les candidats s’engageront sur un délai d’exécution propre à chaque phase qui figure dans l'acte d'engagement. </w:t>
      </w:r>
    </w:p>
    <w:p w14:paraId="2D303B44" w14:textId="425DDF5F" w:rsidR="00937B36" w:rsidRPr="007D1BC1" w:rsidRDefault="00937B36" w:rsidP="00937B36">
      <w:pPr>
        <w:pStyle w:val="Titre4"/>
      </w:pPr>
      <w:r w:rsidRPr="007D1BC1">
        <w:t xml:space="preserve">Article </w:t>
      </w:r>
      <w:r w:rsidR="00BF08C0" w:rsidRPr="007D1BC1">
        <w:t>1</w:t>
      </w:r>
      <w:r w:rsidRPr="007D1BC1">
        <w:t>.</w:t>
      </w:r>
      <w:r w:rsidR="00E721B1" w:rsidRPr="007D1BC1">
        <w:t>3</w:t>
      </w:r>
      <w:r w:rsidRPr="007D1BC1">
        <w:t xml:space="preserve"> – Procédure de passation</w:t>
      </w:r>
    </w:p>
    <w:p w14:paraId="3F9D5998" w14:textId="2502D8FF" w:rsidR="00937B36" w:rsidRPr="007D1BC1" w:rsidRDefault="00B6698C" w:rsidP="00937B36">
      <w:pPr>
        <w:jc w:val="both"/>
        <w:rPr>
          <w:rFonts w:cs="Arial"/>
          <w:szCs w:val="19"/>
        </w:rPr>
      </w:pPr>
      <w:r w:rsidRPr="007D1BC1">
        <w:rPr>
          <w:rFonts w:cs="Arial"/>
          <w:szCs w:val="19"/>
        </w:rPr>
        <w:t>Le marché</w:t>
      </w:r>
      <w:r w:rsidR="00937B36" w:rsidRPr="007D1BC1">
        <w:rPr>
          <w:rFonts w:cs="Arial"/>
          <w:szCs w:val="19"/>
        </w:rPr>
        <w:t xml:space="preserve"> passé selon une procédure adaptée</w:t>
      </w:r>
      <w:r w:rsidR="00872BB6" w:rsidRPr="007D1BC1">
        <w:rPr>
          <w:rFonts w:cs="Arial"/>
          <w:szCs w:val="19"/>
        </w:rPr>
        <w:t xml:space="preserve"> ouverte</w:t>
      </w:r>
      <w:r w:rsidR="00937B36" w:rsidRPr="007D1BC1">
        <w:rPr>
          <w:rFonts w:cs="Arial"/>
          <w:szCs w:val="19"/>
        </w:rPr>
        <w:t xml:space="preserve">, définie à l’article L. 2123-1 du code de la commande publique et </w:t>
      </w:r>
      <w:r w:rsidR="002170B5">
        <w:rPr>
          <w:rFonts w:cs="Arial"/>
          <w:szCs w:val="19"/>
        </w:rPr>
        <w:t>engagée</w:t>
      </w:r>
      <w:r w:rsidR="002170B5" w:rsidRPr="007D1BC1">
        <w:rPr>
          <w:rFonts w:cs="Arial"/>
          <w:szCs w:val="19"/>
        </w:rPr>
        <w:t xml:space="preserve"> </w:t>
      </w:r>
      <w:r w:rsidR="00937B36" w:rsidRPr="007D1BC1">
        <w:rPr>
          <w:rFonts w:cs="Arial"/>
          <w:szCs w:val="19"/>
        </w:rPr>
        <w:t xml:space="preserve">conformément à l’article R. 2123-1 du code précité. </w:t>
      </w:r>
    </w:p>
    <w:p w14:paraId="44466AB9" w14:textId="415AC917" w:rsidR="0029641E" w:rsidRPr="007D1BC1" w:rsidRDefault="00BB3AB1" w:rsidP="0029641E">
      <w:pPr>
        <w:pStyle w:val="Titre4"/>
      </w:pPr>
      <w:r w:rsidRPr="007D1BC1">
        <w:t>A</w:t>
      </w:r>
      <w:r w:rsidR="0029641E" w:rsidRPr="007D1BC1">
        <w:t xml:space="preserve">rticle </w:t>
      </w:r>
      <w:r w:rsidR="00BF08C0" w:rsidRPr="007D1BC1">
        <w:t>1</w:t>
      </w:r>
      <w:r w:rsidR="0029641E" w:rsidRPr="007D1BC1">
        <w:t xml:space="preserve">.4 – Décomposition </w:t>
      </w:r>
      <w:r w:rsidR="00B6698C" w:rsidRPr="007D1BC1">
        <w:t>du marché</w:t>
      </w:r>
    </w:p>
    <w:p w14:paraId="6FD56888" w14:textId="284C5042" w:rsidR="00B6698C" w:rsidRPr="007D1BC1" w:rsidRDefault="00B6698C" w:rsidP="0029641E">
      <w:pPr>
        <w:jc w:val="both"/>
      </w:pPr>
      <w:r w:rsidRPr="007D1BC1">
        <w:rPr>
          <w:rFonts w:cs="Arial"/>
          <w:szCs w:val="19"/>
        </w:rPr>
        <w:t xml:space="preserve">Le marché </w:t>
      </w:r>
      <w:r w:rsidRPr="007D1BC1">
        <w:t xml:space="preserve">fait l’objet d’un lot unique et </w:t>
      </w:r>
      <w:r w:rsidRPr="007D1BC1">
        <w:rPr>
          <w:rFonts w:cs="Arial"/>
          <w:szCs w:val="19"/>
        </w:rPr>
        <w:t>n’est pas décomposé en tranches</w:t>
      </w:r>
    </w:p>
    <w:p w14:paraId="4D92F812" w14:textId="715890E2" w:rsidR="00991808" w:rsidRPr="007D1BC1" w:rsidRDefault="00991808" w:rsidP="00991808">
      <w:pPr>
        <w:pStyle w:val="Titre4"/>
      </w:pPr>
      <w:r w:rsidRPr="007D1BC1">
        <w:t xml:space="preserve">Article </w:t>
      </w:r>
      <w:r w:rsidR="00BF08C0" w:rsidRPr="007D1BC1">
        <w:t>1</w:t>
      </w:r>
      <w:r w:rsidRPr="007D1BC1">
        <w:t xml:space="preserve">.5 – Variantes </w:t>
      </w:r>
    </w:p>
    <w:p w14:paraId="1BDCD7FD" w14:textId="5C67D2BA" w:rsidR="00991808" w:rsidRPr="007D1BC1" w:rsidRDefault="00991808" w:rsidP="00991808">
      <w:pPr>
        <w:jc w:val="both"/>
        <w:rPr>
          <w:rFonts w:cs="Arial"/>
          <w:szCs w:val="19"/>
        </w:rPr>
      </w:pPr>
      <w:r w:rsidRPr="007D1BC1">
        <w:rPr>
          <w:rFonts w:cs="Arial"/>
          <w:szCs w:val="19"/>
        </w:rPr>
        <w:t xml:space="preserve">Les variantes ne sont pas autorisées dans le cadre de cette consultation. </w:t>
      </w:r>
    </w:p>
    <w:p w14:paraId="4E92E1FF" w14:textId="3599DA3D" w:rsidR="00F54E8F" w:rsidRPr="007D1BC1" w:rsidRDefault="00513771" w:rsidP="00F54E8F">
      <w:pPr>
        <w:pStyle w:val="Titre4"/>
      </w:pPr>
      <w:r w:rsidRPr="007D1BC1">
        <w:rPr>
          <w:rFonts w:cs="Arial"/>
          <w:szCs w:val="19"/>
          <w:shd w:val="clear" w:color="auto" w:fill="95B3D7" w:themeFill="accent1" w:themeFillTint="99"/>
        </w:rPr>
        <w:sym w:font="Wingdings" w:char="F071"/>
      </w:r>
      <w:r w:rsidRPr="007D1BC1">
        <w:rPr>
          <w:rFonts w:cs="Arial"/>
          <w:szCs w:val="19"/>
        </w:rPr>
        <w:t xml:space="preserve"> </w:t>
      </w:r>
      <w:r w:rsidR="00F54E8F" w:rsidRPr="007D1BC1">
        <w:t xml:space="preserve">Article 1.6 – Valeur estimée des prestations  </w:t>
      </w:r>
    </w:p>
    <w:p w14:paraId="0D78E8AB" w14:textId="77777777" w:rsidR="00F54E8F" w:rsidRPr="007D1BC1" w:rsidRDefault="00F54E8F" w:rsidP="00F54E8F">
      <w:r w:rsidRPr="007D1BC1">
        <w:t xml:space="preserve">Le budget estimatif alloué la commune pour la réalisation de la mission est estimé à : </w:t>
      </w:r>
    </w:p>
    <w:p w14:paraId="72828EB5" w14:textId="77777777" w:rsidR="00F54E8F" w:rsidRPr="007D1BC1" w:rsidRDefault="00F54E8F" w:rsidP="00F54E8F">
      <w:r w:rsidRPr="007D1BC1">
        <w:rPr>
          <w:rFonts w:cs="Arial"/>
          <w:color w:val="000000" w:themeColor="text1"/>
          <w:szCs w:val="19"/>
          <w:shd w:val="clear" w:color="auto" w:fill="95B3D7" w:themeFill="accent1" w:themeFillTint="99"/>
        </w:rPr>
        <w:sym w:font="Wingdings" w:char="F071"/>
      </w:r>
      <w:r w:rsidRPr="007D1BC1">
        <w:rPr>
          <w:rFonts w:cs="Arial"/>
          <w:color w:val="000000" w:themeColor="text1"/>
          <w:szCs w:val="19"/>
        </w:rPr>
        <w:t xml:space="preserve"> </w:t>
      </w:r>
      <w:r w:rsidRPr="007D1BC1">
        <w:rPr>
          <w:szCs w:val="19"/>
        </w:rPr>
        <w:t xml:space="preserve">un montant de </w:t>
      </w:r>
      <w:r w:rsidRPr="007D1BC1">
        <w:rPr>
          <w:szCs w:val="19"/>
          <w:shd w:val="clear" w:color="auto" w:fill="95B3D7" w:themeFill="accent1" w:themeFillTint="99"/>
        </w:rPr>
        <w:t>XX XXX € HT</w:t>
      </w:r>
      <w:r w:rsidRPr="007D1BC1">
        <w:t xml:space="preserve"> </w:t>
      </w:r>
    </w:p>
    <w:p w14:paraId="13570C20" w14:textId="3C474EA5" w:rsidR="00F54E8F" w:rsidRPr="007D1BC1" w:rsidRDefault="00F54E8F" w:rsidP="005266BD">
      <w:r w:rsidRPr="007D1BC1">
        <w:rPr>
          <w:rFonts w:cs="Arial"/>
          <w:color w:val="000000" w:themeColor="text1"/>
          <w:szCs w:val="19"/>
          <w:shd w:val="clear" w:color="auto" w:fill="95B3D7" w:themeFill="accent1" w:themeFillTint="99"/>
        </w:rPr>
        <w:sym w:font="Wingdings" w:char="F071"/>
      </w:r>
      <w:r w:rsidRPr="007D1BC1">
        <w:rPr>
          <w:rFonts w:cs="Arial"/>
          <w:color w:val="000000" w:themeColor="text1"/>
          <w:szCs w:val="19"/>
        </w:rPr>
        <w:t xml:space="preserve"> </w:t>
      </w:r>
      <w:r w:rsidRPr="007D1BC1">
        <w:rPr>
          <w:szCs w:val="19"/>
        </w:rPr>
        <w:t xml:space="preserve">un montant compris entre </w:t>
      </w:r>
      <w:r w:rsidRPr="007D1BC1">
        <w:rPr>
          <w:szCs w:val="19"/>
          <w:shd w:val="clear" w:color="auto" w:fill="95B3D7" w:themeFill="accent1" w:themeFillTint="99"/>
        </w:rPr>
        <w:t>XX XXX € HT</w:t>
      </w:r>
      <w:r w:rsidRPr="007D1BC1">
        <w:t xml:space="preserve"> </w:t>
      </w:r>
      <w:r w:rsidRPr="007D1BC1">
        <w:rPr>
          <w:szCs w:val="19"/>
        </w:rPr>
        <w:t xml:space="preserve">et </w:t>
      </w:r>
      <w:r w:rsidRPr="007D1BC1">
        <w:rPr>
          <w:szCs w:val="19"/>
          <w:shd w:val="clear" w:color="auto" w:fill="95B3D7" w:themeFill="accent1" w:themeFillTint="99"/>
        </w:rPr>
        <w:t>XX XXX € HT</w:t>
      </w:r>
    </w:p>
    <w:p w14:paraId="5E2E7AF7" w14:textId="3C462DA0" w:rsidR="00D40A8E" w:rsidRPr="007D1BC1" w:rsidRDefault="00F73336" w:rsidP="00D40A8E">
      <w:pPr>
        <w:pStyle w:val="Titre2"/>
      </w:pPr>
      <w:bookmarkStart w:id="5" w:name="_Toc34988852"/>
      <w:bookmarkStart w:id="6" w:name="_Toc43826766"/>
      <w:r w:rsidRPr="007D1BC1">
        <w:t>A</w:t>
      </w:r>
      <w:r w:rsidR="00D40A8E" w:rsidRPr="007D1BC1">
        <w:t xml:space="preserve">rticle </w:t>
      </w:r>
      <w:r w:rsidR="00BF08C0" w:rsidRPr="007D1BC1">
        <w:t>2</w:t>
      </w:r>
      <w:r w:rsidR="00D40A8E" w:rsidRPr="007D1BC1">
        <w:t xml:space="preserve"> – </w:t>
      </w:r>
      <w:bookmarkEnd w:id="5"/>
      <w:bookmarkEnd w:id="6"/>
      <w:r w:rsidR="008B0BA9" w:rsidRPr="007D1BC1">
        <w:t>DOSSIER DE CONSULTATION</w:t>
      </w:r>
    </w:p>
    <w:p w14:paraId="1F23CA82" w14:textId="222BA8F1" w:rsidR="0017266E" w:rsidRPr="007D1BC1" w:rsidRDefault="0017266E" w:rsidP="00F73336">
      <w:pPr>
        <w:pStyle w:val="Titre4"/>
      </w:pPr>
      <w:bookmarkStart w:id="7" w:name="_Toc34988853"/>
      <w:r w:rsidRPr="007D1BC1">
        <w:t xml:space="preserve">Article </w:t>
      </w:r>
      <w:r w:rsidR="00BF08C0" w:rsidRPr="007D1BC1">
        <w:t>2</w:t>
      </w:r>
      <w:r w:rsidRPr="007D1BC1">
        <w:t xml:space="preserve">.1 – </w:t>
      </w:r>
      <w:bookmarkEnd w:id="7"/>
      <w:r w:rsidR="0069110C" w:rsidRPr="007D1BC1">
        <w:t>Contenu du dossier de consultation</w:t>
      </w:r>
    </w:p>
    <w:p w14:paraId="7E636373" w14:textId="6B903CA0" w:rsidR="0069110C" w:rsidRPr="007D1BC1" w:rsidRDefault="0069110C" w:rsidP="0069110C">
      <w:r w:rsidRPr="007D1BC1">
        <w:t>Le dossier de consultation contient les pièces suivantes :</w:t>
      </w:r>
    </w:p>
    <w:p w14:paraId="1772BFD0" w14:textId="24C83BFE" w:rsidR="0069110C" w:rsidRPr="007D1BC1" w:rsidRDefault="0069110C" w:rsidP="008938B3">
      <w:pPr>
        <w:pStyle w:val="Paragraphedeliste"/>
        <w:numPr>
          <w:ilvl w:val="0"/>
          <w:numId w:val="4"/>
        </w:numPr>
      </w:pPr>
      <w:r w:rsidRPr="007D1BC1">
        <w:t>le présent règlement de consultation ;</w:t>
      </w:r>
    </w:p>
    <w:p w14:paraId="0B6B0A28" w14:textId="516B0FF1" w:rsidR="00B6698C" w:rsidRPr="007D1BC1" w:rsidRDefault="0069110C" w:rsidP="008938B3">
      <w:pPr>
        <w:pStyle w:val="Paragraphedeliste"/>
        <w:numPr>
          <w:ilvl w:val="0"/>
          <w:numId w:val="4"/>
        </w:numPr>
      </w:pPr>
      <w:r w:rsidRPr="007D1BC1">
        <w:t xml:space="preserve">l’acte d’engagement </w:t>
      </w:r>
      <w:r w:rsidR="00B6698C" w:rsidRPr="007D1BC1">
        <w:t>et son annexe financière ;</w:t>
      </w:r>
    </w:p>
    <w:p w14:paraId="5B3625F7" w14:textId="1AE3578D" w:rsidR="0069110C" w:rsidRPr="007D1BC1" w:rsidRDefault="00B6698C" w:rsidP="008938B3">
      <w:pPr>
        <w:pStyle w:val="Paragraphedeliste"/>
        <w:numPr>
          <w:ilvl w:val="0"/>
          <w:numId w:val="4"/>
        </w:numPr>
        <w:rPr>
          <w:szCs w:val="19"/>
        </w:rPr>
      </w:pPr>
      <w:r w:rsidRPr="007D1BC1">
        <w:t xml:space="preserve">le </w:t>
      </w:r>
      <w:r w:rsidR="0069110C" w:rsidRPr="007D1BC1">
        <w:t>cahier des clauses par</w:t>
      </w:r>
      <w:r w:rsidR="0069110C" w:rsidRPr="007D1BC1">
        <w:rPr>
          <w:szCs w:val="19"/>
        </w:rPr>
        <w:t>ticulières</w:t>
      </w:r>
      <w:r w:rsidRPr="007D1BC1">
        <w:rPr>
          <w:szCs w:val="19"/>
        </w:rPr>
        <w:t xml:space="preserve"> et ses annexes</w:t>
      </w:r>
      <w:r w:rsidR="0069110C" w:rsidRPr="007D1BC1">
        <w:rPr>
          <w:szCs w:val="19"/>
        </w:rPr>
        <w:t> ;</w:t>
      </w:r>
    </w:p>
    <w:p w14:paraId="356D55C3" w14:textId="03E1CC33" w:rsidR="00B6698C" w:rsidRPr="007D1BC1" w:rsidRDefault="00B6698C" w:rsidP="008938B3">
      <w:pPr>
        <w:pStyle w:val="Paragraphedeliste"/>
        <w:numPr>
          <w:ilvl w:val="0"/>
          <w:numId w:val="4"/>
        </w:numPr>
        <w:rPr>
          <w:szCs w:val="19"/>
        </w:rPr>
      </w:pPr>
      <w:r w:rsidRPr="007D1BC1">
        <w:rPr>
          <w:rFonts w:cs="Arial"/>
          <w:color w:val="000000" w:themeColor="text1"/>
          <w:szCs w:val="19"/>
          <w:shd w:val="clear" w:color="auto" w:fill="95B3D7" w:themeFill="accent1" w:themeFillTint="99"/>
        </w:rPr>
        <w:sym w:font="Wingdings" w:char="F071"/>
      </w:r>
      <w:r w:rsidRPr="007D1BC1">
        <w:rPr>
          <w:rFonts w:cs="Arial"/>
          <w:color w:val="000000" w:themeColor="text1"/>
          <w:szCs w:val="19"/>
        </w:rPr>
        <w:t xml:space="preserve"> </w:t>
      </w:r>
      <w:r w:rsidRPr="007D1BC1">
        <w:rPr>
          <w:szCs w:val="19"/>
        </w:rPr>
        <w:t>les études préalables</w:t>
      </w:r>
    </w:p>
    <w:p w14:paraId="47901425" w14:textId="15CF614C" w:rsidR="00B6698C" w:rsidRPr="007D1BC1" w:rsidRDefault="00B6698C" w:rsidP="008938B3">
      <w:pPr>
        <w:pStyle w:val="Paragraphedeliste"/>
        <w:numPr>
          <w:ilvl w:val="0"/>
          <w:numId w:val="4"/>
        </w:numPr>
      </w:pPr>
      <w:r w:rsidRPr="007D1BC1">
        <w:rPr>
          <w:rFonts w:cs="Arial"/>
          <w:color w:val="000000" w:themeColor="text1"/>
          <w:szCs w:val="19"/>
          <w:shd w:val="clear" w:color="auto" w:fill="95B3D7" w:themeFill="accent1" w:themeFillTint="99"/>
        </w:rPr>
        <w:sym w:font="Wingdings" w:char="F071"/>
      </w:r>
      <w:r w:rsidRPr="007D1BC1">
        <w:t xml:space="preserve"> </w:t>
      </w:r>
      <w:r w:rsidRPr="004D3EF2">
        <w:rPr>
          <w:shd w:val="clear" w:color="auto" w:fill="95B3D7" w:themeFill="accent1" w:themeFillTint="99"/>
        </w:rPr>
        <w:t>Autres documents permettant aux candidats de mieux comprendre les attendus de la mission</w:t>
      </w:r>
    </w:p>
    <w:p w14:paraId="0104A5C8" w14:textId="25380F86" w:rsidR="0069110C" w:rsidRPr="007D1BC1" w:rsidRDefault="0069110C" w:rsidP="0069110C">
      <w:pPr>
        <w:pStyle w:val="Titre4"/>
      </w:pPr>
      <w:r w:rsidRPr="007D1BC1">
        <w:lastRenderedPageBreak/>
        <w:t xml:space="preserve">Article </w:t>
      </w:r>
      <w:r w:rsidR="00BF08C0" w:rsidRPr="007D1BC1">
        <w:t>2</w:t>
      </w:r>
      <w:r w:rsidRPr="007D1BC1">
        <w:t>.2 – Contenu du dossier de consultation</w:t>
      </w:r>
    </w:p>
    <w:p w14:paraId="153E2020" w14:textId="4061630F" w:rsidR="0069110C" w:rsidRPr="007D1BC1" w:rsidRDefault="0069110C" w:rsidP="0069110C">
      <w:pPr>
        <w:jc w:val="both"/>
      </w:pPr>
      <w:r w:rsidRPr="007D1BC1">
        <w:t>L’acheteur met à disposition le dossier de consultation par voie électronique, sur la plateforme de dématérialisation suivante : [</w:t>
      </w:r>
      <w:r w:rsidRPr="007D1BC1">
        <w:rPr>
          <w:shd w:val="clear" w:color="auto" w:fill="95B3D7" w:themeFill="accent1" w:themeFillTint="99"/>
        </w:rPr>
        <w:t>URL du profil acheteur à compléter</w:t>
      </w:r>
      <w:r w:rsidRPr="007D1BC1">
        <w:rPr>
          <w:shd w:val="clear" w:color="auto" w:fill="FFFFFF" w:themeFill="background1"/>
        </w:rPr>
        <w:t>]</w:t>
      </w:r>
    </w:p>
    <w:p w14:paraId="0B63283F" w14:textId="3710BCC1" w:rsidR="0069110C" w:rsidRPr="007D1BC1" w:rsidRDefault="0069110C" w:rsidP="0069110C">
      <w:pPr>
        <w:jc w:val="both"/>
      </w:pPr>
      <w:r w:rsidRPr="007D1BC1">
        <w:t xml:space="preserve">Les </w:t>
      </w:r>
      <w:r w:rsidR="00EF2ACC" w:rsidRPr="007D1BC1">
        <w:t>candidats</w:t>
      </w:r>
      <w:r w:rsidRPr="007D1BC1">
        <w:t xml:space="preserve"> devront s'authentifier sur le site et notamment indiquer une adresse </w:t>
      </w:r>
      <w:r w:rsidR="002170B5">
        <w:t xml:space="preserve">de </w:t>
      </w:r>
      <w:r w:rsidRPr="007D1BC1">
        <w:t>courriel électronique permettant de façon certaine une correspondance électronique notamment pour l'envoi d'éventuels de compléments, précisions ou rectifications.</w:t>
      </w:r>
    </w:p>
    <w:p w14:paraId="4435AA9B" w14:textId="687286CF" w:rsidR="0069110C" w:rsidRPr="007D1BC1" w:rsidRDefault="0069110C" w:rsidP="0069110C">
      <w:pPr>
        <w:pStyle w:val="Titre4"/>
      </w:pPr>
      <w:r w:rsidRPr="007D1BC1">
        <w:t xml:space="preserve">Article </w:t>
      </w:r>
      <w:r w:rsidR="00BF08C0" w:rsidRPr="007D1BC1">
        <w:t>2</w:t>
      </w:r>
      <w:r w:rsidRPr="007D1BC1">
        <w:t>.</w:t>
      </w:r>
      <w:r w:rsidR="00BF08C0" w:rsidRPr="007D1BC1">
        <w:t>3</w:t>
      </w:r>
      <w:r w:rsidRPr="007D1BC1">
        <w:t xml:space="preserve"> – Modifications de détail au dossier</w:t>
      </w:r>
    </w:p>
    <w:p w14:paraId="3E7BBD82" w14:textId="6BBDD74F" w:rsidR="0069110C" w:rsidRPr="007D1BC1" w:rsidRDefault="0069110C" w:rsidP="0069110C">
      <w:r w:rsidRPr="007D1BC1">
        <w:t xml:space="preserve">L’acheteur se réserve le droit d'apporter au plus tard </w:t>
      </w:r>
      <w:r w:rsidRPr="007D1BC1">
        <w:rPr>
          <w:shd w:val="clear" w:color="auto" w:fill="95B3D7" w:themeFill="accent1" w:themeFillTint="99"/>
        </w:rPr>
        <w:t>XX</w:t>
      </w:r>
      <w:r w:rsidRPr="007D1BC1">
        <w:t xml:space="preserve"> jours avant la date limite fixée pour la réception des plis, des modifications de détail au dossier de consultation. Les candidats devront alors répondre sur la base du dossier modifié sans pouvoir élever aucune réclamation à ce sujet. Si pendant l'étude du dossier par les candidats, la date limite de réception des </w:t>
      </w:r>
      <w:r w:rsidR="002170B5">
        <w:t>plis</w:t>
      </w:r>
      <w:r w:rsidR="002170B5" w:rsidRPr="007D1BC1">
        <w:t xml:space="preserve"> </w:t>
      </w:r>
      <w:r w:rsidRPr="007D1BC1">
        <w:t>est reportée, la stipulation précédente est applicable en fonction de cette nouvelle date.</w:t>
      </w:r>
    </w:p>
    <w:p w14:paraId="4F2797BA" w14:textId="44E1C7F7" w:rsidR="009C504E" w:rsidRPr="007D1BC1" w:rsidRDefault="009C504E" w:rsidP="009C504E">
      <w:pPr>
        <w:pStyle w:val="Titre4"/>
      </w:pPr>
      <w:bookmarkStart w:id="8" w:name="_Toc34988862"/>
      <w:r w:rsidRPr="007D1BC1">
        <w:t xml:space="preserve">Article </w:t>
      </w:r>
      <w:r w:rsidR="00BF08C0" w:rsidRPr="007D1BC1">
        <w:t>2</w:t>
      </w:r>
      <w:r w:rsidRPr="007D1BC1">
        <w:t>.</w:t>
      </w:r>
      <w:r w:rsidR="00BF08C0" w:rsidRPr="007D1BC1">
        <w:t>4</w:t>
      </w:r>
      <w:r w:rsidRPr="007D1BC1">
        <w:t xml:space="preserve"> – Renseignements complémentaires</w:t>
      </w:r>
      <w:bookmarkEnd w:id="8"/>
    </w:p>
    <w:p w14:paraId="3CF48ECA" w14:textId="66B0BC4A" w:rsidR="009C504E" w:rsidRPr="007D1BC1" w:rsidRDefault="009C504E" w:rsidP="009C504E">
      <w:r w:rsidRPr="007D1BC1">
        <w:t xml:space="preserve">Pour obtenir les renseignements complémentaires qui leur seraient nécessaires, les candidats peuvent poser des questions relatives à </w:t>
      </w:r>
      <w:r w:rsidR="002170B5">
        <w:t>cette consultation</w:t>
      </w:r>
      <w:r w:rsidRPr="007D1BC1">
        <w:t xml:space="preserve"> sur le profil acheteur au plus tard </w:t>
      </w:r>
      <w:r w:rsidRPr="007D1BC1">
        <w:rPr>
          <w:shd w:val="clear" w:color="auto" w:fill="95B3D7" w:themeFill="accent1" w:themeFillTint="99"/>
        </w:rPr>
        <w:t>XX</w:t>
      </w:r>
      <w:r w:rsidRPr="007D1BC1">
        <w:t xml:space="preserve"> jours avant la date limite de réception des </w:t>
      </w:r>
      <w:r w:rsidR="002170B5">
        <w:t>plis</w:t>
      </w:r>
      <w:r w:rsidRPr="007D1BC1">
        <w:t xml:space="preserve">. </w:t>
      </w:r>
    </w:p>
    <w:p w14:paraId="0D16BB85" w14:textId="77777777" w:rsidR="009C504E" w:rsidRPr="007D1BC1" w:rsidRDefault="009C504E" w:rsidP="009C504E">
      <w:r w:rsidRPr="007D1BC1">
        <w:t>Les demandes de renseignement adressées par un autre canal que le profil acheteur ne seront pas traitées.</w:t>
      </w:r>
    </w:p>
    <w:p w14:paraId="5900791C" w14:textId="2326E4BA" w:rsidR="00D40A8E" w:rsidRPr="007D1BC1" w:rsidRDefault="005577AE" w:rsidP="005577AE">
      <w:pPr>
        <w:pStyle w:val="Titre2"/>
      </w:pPr>
      <w:bookmarkStart w:id="9" w:name="_Toc34988856"/>
      <w:bookmarkStart w:id="10" w:name="_Toc43826767"/>
      <w:r w:rsidRPr="007D1BC1">
        <w:t xml:space="preserve">Article </w:t>
      </w:r>
      <w:r w:rsidR="00BF08C0" w:rsidRPr="007D1BC1">
        <w:t>3</w:t>
      </w:r>
      <w:r w:rsidRPr="007D1BC1">
        <w:t xml:space="preserve"> – </w:t>
      </w:r>
      <w:bookmarkEnd w:id="9"/>
      <w:bookmarkEnd w:id="10"/>
      <w:r w:rsidR="00BD6FE0" w:rsidRPr="007D1BC1">
        <w:t>CONDITIONS DE PARTICIPATION</w:t>
      </w:r>
    </w:p>
    <w:p w14:paraId="77BEF731" w14:textId="34FBBC3E" w:rsidR="00BD6FE0" w:rsidRPr="007D1BC1" w:rsidRDefault="00BD6FE0" w:rsidP="00BD6FE0">
      <w:bookmarkStart w:id="11" w:name="_Toc34988857"/>
      <w:r w:rsidRPr="007D1BC1">
        <w:t xml:space="preserve">La consultation s’adresse aux candidats remplissant les conditions de participation définies ci-dessous, en termes d’organisation, de capacités juridique, technique, professionnelle, économique et financière. </w:t>
      </w:r>
    </w:p>
    <w:p w14:paraId="552F255E" w14:textId="6EA858EB" w:rsidR="00607944" w:rsidRPr="007D1BC1" w:rsidRDefault="00607944" w:rsidP="005577AE">
      <w:pPr>
        <w:pStyle w:val="Titre4"/>
      </w:pPr>
      <w:r w:rsidRPr="007D1BC1">
        <w:t xml:space="preserve">Article </w:t>
      </w:r>
      <w:r w:rsidR="00BF08C0" w:rsidRPr="007D1BC1">
        <w:t>3</w:t>
      </w:r>
      <w:r w:rsidRPr="007D1BC1">
        <w:t xml:space="preserve">.1 – </w:t>
      </w:r>
      <w:bookmarkEnd w:id="11"/>
      <w:r w:rsidR="004C08C8" w:rsidRPr="007D1BC1">
        <w:t>Forme juridique du candidat</w:t>
      </w:r>
    </w:p>
    <w:p w14:paraId="091C499D" w14:textId="77777777" w:rsidR="00EF2ACC" w:rsidRPr="007D1BC1" w:rsidRDefault="00872BB6" w:rsidP="004C08C8">
      <w:r w:rsidRPr="007D1BC1">
        <w:t xml:space="preserve">Les candidats pourront répondre sous la forme d’une entreprise unique ou en groupement, solidaire ou conjoint. </w:t>
      </w:r>
    </w:p>
    <w:p w14:paraId="1CAC2384" w14:textId="5F6268DD" w:rsidR="004C08C8" w:rsidRPr="007D1BC1" w:rsidRDefault="00EF2ACC" w:rsidP="004C08C8">
      <w:r w:rsidRPr="007D1BC1">
        <w:rPr>
          <w:rFonts w:cs="Arial"/>
          <w:color w:val="000000" w:themeColor="text1"/>
          <w:szCs w:val="19"/>
          <w:shd w:val="clear" w:color="auto" w:fill="95B3D7" w:themeFill="accent1" w:themeFillTint="99"/>
        </w:rPr>
        <w:sym w:font="Wingdings" w:char="F071"/>
      </w:r>
      <w:r w:rsidRPr="007D1BC1">
        <w:rPr>
          <w:rFonts w:cs="Arial"/>
          <w:color w:val="000000" w:themeColor="text1"/>
          <w:szCs w:val="19"/>
        </w:rPr>
        <w:t xml:space="preserve"> </w:t>
      </w:r>
      <w:r w:rsidR="00872BB6" w:rsidRPr="007D1BC1">
        <w:t xml:space="preserve">En cas d'attribution </w:t>
      </w:r>
      <w:r w:rsidR="004D3EF2">
        <w:t>du marché</w:t>
      </w:r>
      <w:r w:rsidR="00872BB6" w:rsidRPr="007D1BC1">
        <w:t xml:space="preserve"> à un groupement conjoint, le mandataire du groupement sera solidaire, pour son exécution, de chacun des membres du groupement pour ses obligations contractuelles en application de l'article R. 2142-24 du code de la commande publique.</w:t>
      </w:r>
      <w:r w:rsidR="004C08C8" w:rsidRPr="007D1BC1">
        <w:t xml:space="preserve"> </w:t>
      </w:r>
    </w:p>
    <w:p w14:paraId="5C8EB389" w14:textId="7D6EBF41" w:rsidR="004C08C8" w:rsidRPr="007D1BC1" w:rsidRDefault="004C08C8" w:rsidP="004C08C8">
      <w:r w:rsidRPr="007D1BC1">
        <w:t xml:space="preserve">Conformément à l’article R. 2142-25 du CCP, en cas de candidature d’un groupement, l’appréciation des capacités est globale. </w:t>
      </w:r>
    </w:p>
    <w:p w14:paraId="4C9D9EC6" w14:textId="771E2A56" w:rsidR="00872BB6" w:rsidRPr="007D1BC1" w:rsidRDefault="00872BB6" w:rsidP="00872BB6">
      <w:pPr>
        <w:pStyle w:val="Titre4"/>
      </w:pPr>
      <w:r w:rsidRPr="007D1BC1">
        <w:t xml:space="preserve">Article </w:t>
      </w:r>
      <w:r w:rsidR="00BF08C0" w:rsidRPr="007D1BC1">
        <w:t>3</w:t>
      </w:r>
      <w:r w:rsidRPr="007D1BC1">
        <w:t>.2 – Capacités juridiques, économiques, professionnelles et techniques</w:t>
      </w:r>
    </w:p>
    <w:p w14:paraId="75D317DC" w14:textId="6AFCCE33" w:rsidR="00872BB6" w:rsidRPr="007D1BC1" w:rsidRDefault="00D11047" w:rsidP="00D11047">
      <w:pPr>
        <w:pStyle w:val="Titre5"/>
      </w:pPr>
      <w:r w:rsidRPr="007D1BC1">
        <w:t xml:space="preserve">Article </w:t>
      </w:r>
      <w:r w:rsidR="00BF08C0" w:rsidRPr="007D1BC1">
        <w:t>3</w:t>
      </w:r>
      <w:r w:rsidRPr="007D1BC1">
        <w:t>.2.1 – Situation juridique du candidat</w:t>
      </w:r>
    </w:p>
    <w:p w14:paraId="12891F51" w14:textId="6E80F980" w:rsidR="00D11047" w:rsidRPr="007D1BC1" w:rsidRDefault="00D11047" w:rsidP="00D11047">
      <w:r w:rsidRPr="007D1BC1">
        <w:t>Les candidats ne peuvent en aucun des entrer dans les cas d’exclusions prévus aux articles L. 2141-1 à L2141-5 ou L. 2141-7 à L. 2141-10 du code de la commande publique.  Si le candidat est en situation de redressement judiciaire, il est dans l’obligation de préciser à quel stade en est la procédure.</w:t>
      </w:r>
    </w:p>
    <w:p w14:paraId="41496E3F" w14:textId="54E2744D" w:rsidR="00D11047" w:rsidRPr="007D1BC1" w:rsidRDefault="00D11047" w:rsidP="00D11047">
      <w:pPr>
        <w:pStyle w:val="Titre5"/>
        <w:jc w:val="both"/>
      </w:pPr>
      <w:r w:rsidRPr="007D1BC1">
        <w:t xml:space="preserve">Article </w:t>
      </w:r>
      <w:r w:rsidR="00BF08C0" w:rsidRPr="007D1BC1">
        <w:t>3</w:t>
      </w:r>
      <w:r w:rsidRPr="007D1BC1">
        <w:t>.2.2 – Garanties économiques et financières</w:t>
      </w:r>
    </w:p>
    <w:p w14:paraId="316176F5" w14:textId="6F4803FA" w:rsidR="00D11047" w:rsidRPr="007D1BC1" w:rsidRDefault="00D11047" w:rsidP="00D11047">
      <w:r w:rsidRPr="007D1BC1">
        <w:t xml:space="preserve">Le candidat doit présenter des garanties économiques et financières suffisantes en rapport aux prestations définies dans </w:t>
      </w:r>
      <w:r w:rsidR="00EF2ACC" w:rsidRPr="007D1BC1">
        <w:t>le marché</w:t>
      </w:r>
      <w:r w:rsidRPr="007D1BC1">
        <w:t xml:space="preserve">. Les opérateurs économiques nouvellement créés doivent apporter la preuve de leurs capacités financières par tout moyen de preuve approprié. </w:t>
      </w:r>
    </w:p>
    <w:p w14:paraId="031D6ABA" w14:textId="772A5A31" w:rsidR="00D11047" w:rsidRPr="007D1BC1" w:rsidRDefault="00D11047" w:rsidP="00D11047">
      <w:pPr>
        <w:pStyle w:val="Titre5"/>
        <w:jc w:val="both"/>
      </w:pPr>
      <w:r w:rsidRPr="007D1BC1">
        <w:t xml:space="preserve">Article </w:t>
      </w:r>
      <w:r w:rsidR="00BF08C0" w:rsidRPr="007D1BC1">
        <w:t>3</w:t>
      </w:r>
      <w:r w:rsidRPr="007D1BC1">
        <w:t xml:space="preserve">.2.3 – Assurances pour les risques professionnels </w:t>
      </w:r>
    </w:p>
    <w:p w14:paraId="1A940D42" w14:textId="3FDB3235" w:rsidR="00D11047" w:rsidRPr="007D1BC1" w:rsidRDefault="00D11047" w:rsidP="00D11047">
      <w:r w:rsidRPr="007D1BC1">
        <w:t xml:space="preserve">Conformément à l’article R. 2142-12 du CCP, l’acheteur exige des candidats qu’ils disposent d’une assurance permettant de couvrir les risques liés à </w:t>
      </w:r>
      <w:r w:rsidR="00EF2ACC" w:rsidRPr="007D1BC1">
        <w:t>la réalisation des prestations</w:t>
      </w:r>
      <w:r w:rsidRPr="007D1BC1">
        <w:t xml:space="preserve">. </w:t>
      </w:r>
    </w:p>
    <w:p w14:paraId="2736BA70" w14:textId="2C75E527" w:rsidR="00EC0DC6" w:rsidRPr="007D1BC1" w:rsidRDefault="00EC0DC6" w:rsidP="00EC0DC6">
      <w:pPr>
        <w:pStyle w:val="Titre5"/>
        <w:jc w:val="both"/>
      </w:pPr>
      <w:r w:rsidRPr="007D1BC1">
        <w:t xml:space="preserve">Article </w:t>
      </w:r>
      <w:r w:rsidR="00BF08C0" w:rsidRPr="007D1BC1">
        <w:t>3</w:t>
      </w:r>
      <w:r w:rsidRPr="007D1BC1">
        <w:t>.2.</w:t>
      </w:r>
      <w:r w:rsidR="00BF08C0" w:rsidRPr="007D1BC1">
        <w:t>4</w:t>
      </w:r>
      <w:r w:rsidRPr="007D1BC1">
        <w:t xml:space="preserve"> – Capacités techniques et professionnelles.  </w:t>
      </w:r>
    </w:p>
    <w:p w14:paraId="295E9175" w14:textId="74428314" w:rsidR="005266BD" w:rsidRPr="00285F59" w:rsidRDefault="005266BD" w:rsidP="005266BD">
      <w:pPr>
        <w:rPr>
          <w:color w:val="000000" w:themeColor="text1"/>
          <w:szCs w:val="19"/>
        </w:rPr>
      </w:pPr>
      <w:r w:rsidRPr="00285F59">
        <w:rPr>
          <w:rFonts w:cs="Arial"/>
          <w:color w:val="000000" w:themeColor="text1"/>
          <w:szCs w:val="19"/>
          <w:shd w:val="clear" w:color="auto" w:fill="95B3D7" w:themeFill="accent1" w:themeFillTint="99"/>
        </w:rPr>
        <w:sym w:font="Wingdings" w:char="F071"/>
      </w:r>
      <w:r w:rsidRPr="00285F59">
        <w:rPr>
          <w:rFonts w:cs="Arial"/>
          <w:color w:val="000000" w:themeColor="text1"/>
          <w:szCs w:val="19"/>
        </w:rPr>
        <w:t xml:space="preserve"> </w:t>
      </w:r>
      <w:r w:rsidRPr="00285F59">
        <w:rPr>
          <w:color w:val="000000" w:themeColor="text1"/>
          <w:szCs w:val="19"/>
        </w:rPr>
        <w:t xml:space="preserve">Le candidat devra présenter des moyens techniques et humains, ainsi qu’une expérience professionnelle adaptés à la réalisation des prestations qui font l’objet du marché. </w:t>
      </w:r>
    </w:p>
    <w:p w14:paraId="799B2FA7" w14:textId="1D1D810A" w:rsidR="00EC0DC6" w:rsidRPr="00285F59" w:rsidRDefault="005266BD" w:rsidP="004C08C8">
      <w:pPr>
        <w:rPr>
          <w:color w:val="000000" w:themeColor="text1"/>
        </w:rPr>
      </w:pPr>
      <w:r w:rsidRPr="00285F59">
        <w:rPr>
          <w:rFonts w:cs="Arial"/>
          <w:color w:val="000000" w:themeColor="text1"/>
          <w:szCs w:val="19"/>
          <w:shd w:val="clear" w:color="auto" w:fill="95B3D7" w:themeFill="accent1" w:themeFillTint="99"/>
        </w:rPr>
        <w:lastRenderedPageBreak/>
        <w:sym w:font="Wingdings" w:char="F071"/>
      </w:r>
      <w:r w:rsidRPr="00285F59">
        <w:rPr>
          <w:rFonts w:cs="Arial"/>
          <w:color w:val="000000" w:themeColor="text1"/>
          <w:szCs w:val="19"/>
        </w:rPr>
        <w:t xml:space="preserve"> </w:t>
      </w:r>
      <w:r w:rsidRPr="00285F59">
        <w:rPr>
          <w:color w:val="000000" w:themeColor="text1"/>
          <w:szCs w:val="19"/>
        </w:rPr>
        <w:t>Le</w:t>
      </w:r>
      <w:r w:rsidRPr="00285F59">
        <w:rPr>
          <w:color w:val="000000" w:themeColor="text1"/>
        </w:rPr>
        <w:t xml:space="preserve"> </w:t>
      </w:r>
      <w:r w:rsidR="00EC0DC6" w:rsidRPr="00285F59">
        <w:rPr>
          <w:color w:val="000000" w:themeColor="text1"/>
        </w:rPr>
        <w:t xml:space="preserve">candidat doit justifier </w:t>
      </w:r>
      <w:r w:rsidR="00EF2ACC" w:rsidRPr="00285F59">
        <w:rPr>
          <w:color w:val="000000" w:themeColor="text1"/>
        </w:rPr>
        <w:t>de compétences dans les disciplines suivantes :</w:t>
      </w:r>
    </w:p>
    <w:p w14:paraId="4581C121" w14:textId="4F195C01" w:rsidR="00D4008B" w:rsidRPr="00285F59" w:rsidRDefault="00D4008B" w:rsidP="00D4008B">
      <w:pPr>
        <w:pStyle w:val="Paragraphedeliste"/>
        <w:numPr>
          <w:ilvl w:val="0"/>
          <w:numId w:val="4"/>
        </w:numPr>
        <w:rPr>
          <w:color w:val="000000" w:themeColor="text1"/>
          <w:szCs w:val="19"/>
        </w:rPr>
      </w:pPr>
      <w:r w:rsidRPr="00285F59">
        <w:rPr>
          <w:color w:val="000000" w:themeColor="text1"/>
          <w:szCs w:val="19"/>
        </w:rPr>
        <w:t>architecture</w:t>
      </w:r>
    </w:p>
    <w:p w14:paraId="0B116A0E" w14:textId="43E967DD" w:rsidR="00EF2ACC" w:rsidRPr="00285F59" w:rsidRDefault="00EF2ACC" w:rsidP="00EF2ACC">
      <w:pPr>
        <w:pStyle w:val="Paragraphedeliste"/>
        <w:numPr>
          <w:ilvl w:val="0"/>
          <w:numId w:val="4"/>
        </w:numPr>
        <w:rPr>
          <w:color w:val="000000" w:themeColor="text1"/>
          <w:szCs w:val="19"/>
        </w:rPr>
      </w:pPr>
      <w:r w:rsidRPr="00285F59">
        <w:rPr>
          <w:color w:val="000000" w:themeColor="text1"/>
          <w:szCs w:val="19"/>
        </w:rPr>
        <w:t>urbanisme</w:t>
      </w:r>
    </w:p>
    <w:p w14:paraId="2874199E" w14:textId="4441C05A" w:rsidR="00EF2ACC" w:rsidRPr="00285F59" w:rsidRDefault="005717C8" w:rsidP="004C08C8">
      <w:pPr>
        <w:pStyle w:val="Paragraphedeliste"/>
        <w:numPr>
          <w:ilvl w:val="0"/>
          <w:numId w:val="4"/>
        </w:numPr>
        <w:rPr>
          <w:color w:val="000000" w:themeColor="text1"/>
          <w:szCs w:val="19"/>
        </w:rPr>
      </w:pPr>
      <w:r w:rsidRPr="00285F59">
        <w:rPr>
          <w:rFonts w:cs="Arial"/>
          <w:color w:val="000000" w:themeColor="text1"/>
          <w:szCs w:val="19"/>
          <w:shd w:val="clear" w:color="auto" w:fill="95B3D7" w:themeFill="accent1" w:themeFillTint="99"/>
        </w:rPr>
        <w:sym w:font="Wingdings" w:char="F071"/>
      </w:r>
      <w:r w:rsidRPr="005717C8">
        <w:rPr>
          <w:rFonts w:cs="Arial"/>
          <w:color w:val="000000" w:themeColor="text1"/>
          <w:szCs w:val="19"/>
          <w:shd w:val="clear" w:color="auto" w:fill="FFFFFF" w:themeFill="background1"/>
        </w:rPr>
        <w:t xml:space="preserve"> </w:t>
      </w:r>
      <w:r w:rsidR="00EF2ACC" w:rsidRPr="00285F59">
        <w:rPr>
          <w:color w:val="000000" w:themeColor="text1"/>
          <w:szCs w:val="19"/>
        </w:rPr>
        <w:t>paysage</w:t>
      </w:r>
    </w:p>
    <w:p w14:paraId="33B16376" w14:textId="42524670" w:rsidR="00095F1B" w:rsidRDefault="005717C8" w:rsidP="00095F1B">
      <w:pPr>
        <w:pStyle w:val="Paragraphedeliste"/>
        <w:numPr>
          <w:ilvl w:val="0"/>
          <w:numId w:val="4"/>
        </w:numPr>
        <w:rPr>
          <w:color w:val="000000" w:themeColor="text1"/>
          <w:szCs w:val="19"/>
        </w:rPr>
      </w:pPr>
      <w:r w:rsidRPr="00285F59">
        <w:rPr>
          <w:rFonts w:cs="Arial"/>
          <w:color w:val="000000" w:themeColor="text1"/>
          <w:szCs w:val="19"/>
          <w:shd w:val="clear" w:color="auto" w:fill="95B3D7" w:themeFill="accent1" w:themeFillTint="99"/>
        </w:rPr>
        <w:sym w:font="Wingdings" w:char="F071"/>
      </w:r>
      <w:r w:rsidRPr="005717C8">
        <w:rPr>
          <w:rFonts w:cs="Arial"/>
          <w:color w:val="000000" w:themeColor="text1"/>
          <w:szCs w:val="19"/>
          <w:shd w:val="clear" w:color="auto" w:fill="FFFFFF" w:themeFill="background1"/>
        </w:rPr>
        <w:t xml:space="preserve"> </w:t>
      </w:r>
      <w:r w:rsidR="00095F1B" w:rsidRPr="00285F59">
        <w:rPr>
          <w:color w:val="000000" w:themeColor="text1"/>
          <w:szCs w:val="19"/>
        </w:rPr>
        <w:t>économie de l’aménagement et de la construction</w:t>
      </w:r>
    </w:p>
    <w:p w14:paraId="3404E88C" w14:textId="7A3ABBB0" w:rsidR="005266BD" w:rsidRPr="007D1BC1" w:rsidRDefault="005266BD" w:rsidP="004C08C8">
      <w:pPr>
        <w:rPr>
          <w:szCs w:val="19"/>
        </w:rPr>
      </w:pPr>
      <w:r w:rsidRPr="007D1BC1">
        <w:rPr>
          <w:szCs w:val="19"/>
        </w:rPr>
        <w:t xml:space="preserve">La justification de ces compétences est apportée par tout moyen.  </w:t>
      </w:r>
    </w:p>
    <w:p w14:paraId="501E69EB" w14:textId="3557E354" w:rsidR="004C08C8" w:rsidRPr="007D1BC1" w:rsidRDefault="004C08C8" w:rsidP="004C08C8">
      <w:r w:rsidRPr="007D1BC1">
        <w:t xml:space="preserve">Les opérateurs nouvellement créés peuvent indiquer les expériences des personnels acquises antérieurement, sous réserve d’une présentation explicite et sans équivoque sur les entités contractantes et l’étendue de leur intervention sur </w:t>
      </w:r>
      <w:r w:rsidR="00095F1B" w:rsidRPr="007D1BC1">
        <w:t>les missions présentées dans la candidature</w:t>
      </w:r>
      <w:r w:rsidRPr="007D1BC1">
        <w:t>.</w:t>
      </w:r>
    </w:p>
    <w:p w14:paraId="002046EF" w14:textId="507A16E7" w:rsidR="00942930" w:rsidRPr="007D1BC1" w:rsidRDefault="00942930" w:rsidP="00942930">
      <w:pPr>
        <w:pStyle w:val="Titre2"/>
      </w:pPr>
      <w:bookmarkStart w:id="12" w:name="_Toc34988881"/>
      <w:bookmarkStart w:id="13" w:name="_Toc43826770"/>
      <w:r w:rsidRPr="007D1BC1">
        <w:t xml:space="preserve">Article </w:t>
      </w:r>
      <w:r w:rsidR="00BF08C0" w:rsidRPr="007D1BC1">
        <w:t>4</w:t>
      </w:r>
      <w:r w:rsidR="00B53ED2" w:rsidRPr="007D1BC1">
        <w:t xml:space="preserve"> </w:t>
      </w:r>
      <w:r w:rsidRPr="007D1BC1">
        <w:t xml:space="preserve">– </w:t>
      </w:r>
      <w:bookmarkEnd w:id="12"/>
      <w:bookmarkEnd w:id="13"/>
      <w:r w:rsidR="004C08C8" w:rsidRPr="007D1BC1">
        <w:t>Pr</w:t>
      </w:r>
      <w:r w:rsidR="00BC4CCE" w:rsidRPr="007D1BC1">
        <w:t>É</w:t>
      </w:r>
      <w:r w:rsidR="004C08C8" w:rsidRPr="007D1BC1">
        <w:t>sentation des candidatures et des offres</w:t>
      </w:r>
    </w:p>
    <w:p w14:paraId="7CD6F8E4" w14:textId="77777777" w:rsidR="00E42FE9" w:rsidRPr="007D1BC1" w:rsidRDefault="00E42FE9" w:rsidP="00E42FE9">
      <w:bookmarkStart w:id="14" w:name="_Toc34988882"/>
      <w:r w:rsidRPr="007D1BC1">
        <w:t>Chaque candidat produit un dossier complet comprenant les pièces suivantes :</w:t>
      </w:r>
    </w:p>
    <w:p w14:paraId="508822A5" w14:textId="57F53EA4" w:rsidR="00FB5533" w:rsidRPr="007D1BC1" w:rsidRDefault="00FB5533" w:rsidP="00FB5533">
      <w:pPr>
        <w:pStyle w:val="Titre4"/>
      </w:pPr>
      <w:r w:rsidRPr="007D1BC1">
        <w:t xml:space="preserve">Article </w:t>
      </w:r>
      <w:r w:rsidR="00BF08C0" w:rsidRPr="007D1BC1">
        <w:t>4</w:t>
      </w:r>
      <w:r w:rsidRPr="007D1BC1">
        <w:t>.</w:t>
      </w:r>
      <w:r w:rsidR="00942930" w:rsidRPr="007D1BC1">
        <w:t>1</w:t>
      </w:r>
      <w:r w:rsidRPr="007D1BC1">
        <w:t xml:space="preserve"> – </w:t>
      </w:r>
      <w:r w:rsidR="00E51B61" w:rsidRPr="007D1BC1">
        <w:t>Pièces</w:t>
      </w:r>
      <w:r w:rsidRPr="007D1BC1">
        <w:t xml:space="preserve"> </w:t>
      </w:r>
      <w:r w:rsidR="00E51B61" w:rsidRPr="007D1BC1">
        <w:t>relative à la candidature</w:t>
      </w:r>
      <w:bookmarkEnd w:id="14"/>
    </w:p>
    <w:p w14:paraId="2F982A20" w14:textId="24529CCC" w:rsidR="00E51B61" w:rsidRPr="007D1BC1" w:rsidRDefault="00423A38" w:rsidP="008938B3">
      <w:pPr>
        <w:pStyle w:val="Paragraphedeliste"/>
        <w:numPr>
          <w:ilvl w:val="0"/>
          <w:numId w:val="5"/>
        </w:numPr>
      </w:pPr>
      <w:r w:rsidRPr="007D1BC1">
        <w:t xml:space="preserve">une lettre de candidature (DC1 ou format libre) </w:t>
      </w:r>
      <w:r w:rsidR="00696FE1" w:rsidRPr="007D1BC1">
        <w:t>établi</w:t>
      </w:r>
      <w:r w:rsidR="009E0BD5" w:rsidRPr="007D1BC1">
        <w:t>e</w:t>
      </w:r>
      <w:r w:rsidRPr="007D1BC1">
        <w:t xml:space="preserve"> par le candidat individuel ou le mandataire en cas de groupement, comportant l’ensemble des indications permettant d’identifier le candidat ou l’ensemble des membres en cas de réponse en groupement</w:t>
      </w:r>
      <w:r w:rsidR="00E51B61" w:rsidRPr="007D1BC1">
        <w:t> ;</w:t>
      </w:r>
    </w:p>
    <w:p w14:paraId="31B98FD6" w14:textId="77777777" w:rsidR="00E51B61" w:rsidRPr="007D1BC1" w:rsidRDefault="004C08C8" w:rsidP="008938B3">
      <w:pPr>
        <w:pStyle w:val="Paragraphedeliste"/>
        <w:numPr>
          <w:ilvl w:val="0"/>
          <w:numId w:val="5"/>
        </w:numPr>
      </w:pPr>
      <w:r w:rsidRPr="007D1BC1">
        <w:t>le formulaire DC2</w:t>
      </w:r>
      <w:r w:rsidR="00E51B61" w:rsidRPr="007D1BC1">
        <w:t> ;</w:t>
      </w:r>
      <w:r w:rsidRPr="007D1BC1">
        <w:t xml:space="preserve"> </w:t>
      </w:r>
    </w:p>
    <w:p w14:paraId="07B3F9F4" w14:textId="6C02630E" w:rsidR="004C08C8" w:rsidRPr="007D1BC1" w:rsidRDefault="004C08C8" w:rsidP="008938B3">
      <w:pPr>
        <w:pStyle w:val="Paragraphedeliste"/>
        <w:numPr>
          <w:ilvl w:val="0"/>
          <w:numId w:val="5"/>
        </w:numPr>
      </w:pPr>
      <w:r w:rsidRPr="007D1BC1">
        <w:t xml:space="preserve">un document libre de présentation pouvant comporter les informations suivantes : présentation générale, description des moyens humains et matériels, liste de références, </w:t>
      </w:r>
      <w:r w:rsidR="00E51B61" w:rsidRPr="007D1BC1">
        <w:t>certificats de qualification professionnelle, attestations de capacité et de formation.</w:t>
      </w:r>
    </w:p>
    <w:p w14:paraId="3B14D6DE" w14:textId="79346887" w:rsidR="00E42FE9" w:rsidRPr="007D1BC1" w:rsidRDefault="00E42FE9" w:rsidP="00E51B61">
      <w:r w:rsidRPr="007D1BC1">
        <w:t xml:space="preserve">En cas de candidature en groupement, chaque opérateur présenté dans la candidature fournit un formulaire DC2 et un document libre de présentation. </w:t>
      </w:r>
    </w:p>
    <w:p w14:paraId="33AE3199" w14:textId="5E173338" w:rsidR="00E42FE9" w:rsidRPr="007D1BC1" w:rsidRDefault="00E51B61" w:rsidP="00E51B61">
      <w:r w:rsidRPr="007D1BC1">
        <w:t xml:space="preserve">Les candidats peuvent présenter leur candidature sous la forme d’un document unique de marché européen (DUME) établi conformément au modèle fixé par le règlement d’exécution 2016/7 de la Commission européenne du 5 janvier 2016 en lieu et place de l’ensemble des documents et renseignements justifiant de leurs capacités. </w:t>
      </w:r>
      <w:r w:rsidR="00E42FE9" w:rsidRPr="007D1BC1">
        <w:t>L’acheteur n’autorise pas toutefois les candidats à se limiter à indiquer dans le DUME qu’ils disposent de l’aptitude et des capacités requises sans fournir d’informations particulières sur celles-ci.</w:t>
      </w:r>
    </w:p>
    <w:p w14:paraId="3A1B5B60" w14:textId="360EC95B" w:rsidR="00E51B61" w:rsidRPr="007D1BC1" w:rsidRDefault="00E42FE9" w:rsidP="007B7A15">
      <w:pPr>
        <w:shd w:val="clear" w:color="auto" w:fill="95B3D7" w:themeFill="accent1" w:themeFillTint="99"/>
        <w:rPr>
          <w:highlight w:val="yellow"/>
        </w:rPr>
      </w:pPr>
      <w:r w:rsidRPr="007D1BC1">
        <w:t>[L’acheteur précise ici les conditions de mise en œuvre de l’E-DUME, dépendantes de son profil acheteur]</w:t>
      </w:r>
    </w:p>
    <w:p w14:paraId="6C7CEC6F" w14:textId="67175774" w:rsidR="00E42FE9" w:rsidRPr="00E3176A" w:rsidRDefault="00E42FE9" w:rsidP="00E42FE9">
      <w:pPr>
        <w:pStyle w:val="Titre4"/>
      </w:pPr>
      <w:r w:rsidRPr="00E3176A">
        <w:t xml:space="preserve">Article </w:t>
      </w:r>
      <w:r w:rsidR="00BF08C0" w:rsidRPr="00E3176A">
        <w:t>4</w:t>
      </w:r>
      <w:r w:rsidRPr="00E3176A">
        <w:t>.2 – Pièces relative</w:t>
      </w:r>
      <w:r w:rsidR="005769A3" w:rsidRPr="00E3176A">
        <w:t>s</w:t>
      </w:r>
      <w:r w:rsidRPr="00E3176A">
        <w:t xml:space="preserve"> à l’offre</w:t>
      </w:r>
    </w:p>
    <w:p w14:paraId="1EE7EF98" w14:textId="77777777" w:rsidR="00DC2951" w:rsidRDefault="008810AC" w:rsidP="00DC2951">
      <w:pPr>
        <w:pStyle w:val="Paragraphedeliste"/>
        <w:numPr>
          <w:ilvl w:val="0"/>
          <w:numId w:val="10"/>
        </w:numPr>
        <w:rPr>
          <w:color w:val="000000" w:themeColor="text1"/>
        </w:rPr>
      </w:pPr>
      <w:r w:rsidRPr="00E3176A">
        <w:rPr>
          <w:color w:val="000000" w:themeColor="text1"/>
        </w:rPr>
        <w:t xml:space="preserve">l’acte d’engagement </w:t>
      </w:r>
      <w:r w:rsidR="00BC4CCE" w:rsidRPr="00E3176A">
        <w:rPr>
          <w:color w:val="000000" w:themeColor="text1"/>
        </w:rPr>
        <w:t xml:space="preserve">et son annexe financière </w:t>
      </w:r>
      <w:r w:rsidRPr="00E3176A">
        <w:rPr>
          <w:color w:val="000000" w:themeColor="text1"/>
        </w:rPr>
        <w:t>complété</w:t>
      </w:r>
      <w:r w:rsidR="00BC4CCE" w:rsidRPr="00E3176A">
        <w:rPr>
          <w:color w:val="000000" w:themeColor="text1"/>
        </w:rPr>
        <w:t>s</w:t>
      </w:r>
      <w:r w:rsidRPr="00E3176A">
        <w:rPr>
          <w:color w:val="000000" w:themeColor="text1"/>
        </w:rPr>
        <w:t xml:space="preserve"> par le candidat ;</w:t>
      </w:r>
    </w:p>
    <w:p w14:paraId="536A3267" w14:textId="4E2A2D4F" w:rsidR="00DC2951" w:rsidRPr="00DC2951" w:rsidRDefault="008810AC" w:rsidP="00DC2951">
      <w:pPr>
        <w:pStyle w:val="Paragraphedeliste"/>
        <w:numPr>
          <w:ilvl w:val="0"/>
          <w:numId w:val="10"/>
        </w:numPr>
        <w:rPr>
          <w:color w:val="000000" w:themeColor="text1"/>
        </w:rPr>
      </w:pPr>
      <w:r w:rsidRPr="00DC2951">
        <w:rPr>
          <w:color w:val="000000" w:themeColor="text1"/>
        </w:rPr>
        <w:t>un mémoire technique</w:t>
      </w:r>
      <w:r w:rsidR="00DC2951">
        <w:rPr>
          <w:color w:val="000000" w:themeColor="text1"/>
        </w:rPr>
        <w:t xml:space="preserve">, limité à un maximum de 10 pages, </w:t>
      </w:r>
      <w:r w:rsidR="00BC4CCE" w:rsidRPr="00DC2951">
        <w:rPr>
          <w:color w:val="000000" w:themeColor="text1"/>
        </w:rPr>
        <w:t xml:space="preserve">décrivant la méthodologie pour réaliser les prestations du marché, incluant au minimum : </w:t>
      </w:r>
      <w:r w:rsidR="002E09BD" w:rsidRPr="00DC2951">
        <w:rPr>
          <w:b/>
          <w:bCs/>
          <w:color w:val="000000" w:themeColor="text1"/>
        </w:rPr>
        <w:t xml:space="preserve"> </w:t>
      </w:r>
    </w:p>
    <w:p w14:paraId="59FE0426" w14:textId="4F9978C3" w:rsidR="00BC4CCE" w:rsidRPr="00DC2951" w:rsidRDefault="00BC4CCE" w:rsidP="00DC2951">
      <w:pPr>
        <w:pStyle w:val="Paragraphedeliste"/>
        <w:numPr>
          <w:ilvl w:val="1"/>
          <w:numId w:val="10"/>
        </w:numPr>
        <w:rPr>
          <w:color w:val="000000" w:themeColor="text1"/>
        </w:rPr>
      </w:pPr>
      <w:r w:rsidRPr="00DC2951">
        <w:rPr>
          <w:color w:val="000000" w:themeColor="text1"/>
        </w:rPr>
        <w:t>les méthodes, outils et moyens mis en œuvre pour</w:t>
      </w:r>
      <w:r w:rsidR="008C0447">
        <w:rPr>
          <w:color w:val="000000" w:themeColor="text1"/>
        </w:rPr>
        <w:t xml:space="preserve"> chacune des trois phases : élaboration du diagnostic stratégique de territoire, proposition stratégique d’aménagement, finalisation du plan-guide communal</w:t>
      </w:r>
      <w:r w:rsidR="00E8082B">
        <w:rPr>
          <w:color w:val="000000" w:themeColor="text1"/>
        </w:rPr>
        <w:t> ;</w:t>
      </w:r>
      <w:r w:rsidRPr="00DC2951">
        <w:rPr>
          <w:color w:val="000000" w:themeColor="text1"/>
        </w:rPr>
        <w:t xml:space="preserve"> </w:t>
      </w:r>
    </w:p>
    <w:p w14:paraId="7D7D6D83" w14:textId="731958E0" w:rsidR="00DC47FD" w:rsidRPr="00E3176A" w:rsidRDefault="00DC47FD" w:rsidP="00BC4CCE">
      <w:pPr>
        <w:pStyle w:val="Paragraphedeliste"/>
        <w:numPr>
          <w:ilvl w:val="1"/>
          <w:numId w:val="5"/>
        </w:numPr>
        <w:rPr>
          <w:color w:val="000000" w:themeColor="text1"/>
        </w:rPr>
      </w:pPr>
      <w:r w:rsidRPr="00E3176A">
        <w:rPr>
          <w:color w:val="000000" w:themeColor="text1"/>
        </w:rPr>
        <w:t xml:space="preserve">l’organisation du travail propre à chaque phase, la répartition des temps d’intervention entre les tâches d’analyse, de concertation, de production et de pilotage/restitution ; </w:t>
      </w:r>
    </w:p>
    <w:p w14:paraId="172F5834" w14:textId="5AD1536E" w:rsidR="00BC4CCE" w:rsidRPr="00E3176A" w:rsidRDefault="00BC4CCE" w:rsidP="00BC4CCE">
      <w:pPr>
        <w:pStyle w:val="Paragraphedeliste"/>
        <w:numPr>
          <w:ilvl w:val="1"/>
          <w:numId w:val="5"/>
        </w:numPr>
        <w:rPr>
          <w:color w:val="000000" w:themeColor="text1"/>
        </w:rPr>
      </w:pPr>
      <w:r w:rsidRPr="00E3176A">
        <w:rPr>
          <w:color w:val="000000" w:themeColor="text1"/>
        </w:rPr>
        <w:t>la démarche de pilotage de la mission ;</w:t>
      </w:r>
    </w:p>
    <w:p w14:paraId="3C4E091A" w14:textId="72DE6AFB" w:rsidR="00DC47FD" w:rsidRPr="00E3176A" w:rsidRDefault="00DC47FD" w:rsidP="00DC47FD">
      <w:pPr>
        <w:pStyle w:val="Paragraphedeliste"/>
        <w:numPr>
          <w:ilvl w:val="1"/>
          <w:numId w:val="5"/>
        </w:numPr>
        <w:rPr>
          <w:color w:val="000000" w:themeColor="text1"/>
        </w:rPr>
      </w:pPr>
      <w:r w:rsidRPr="00E3176A">
        <w:rPr>
          <w:color w:val="000000" w:themeColor="text1"/>
        </w:rPr>
        <w:t>l’approche proposée pour animer la concertation</w:t>
      </w:r>
      <w:r w:rsidR="004D3EF2" w:rsidRPr="00E3176A">
        <w:rPr>
          <w:color w:val="000000" w:themeColor="text1"/>
        </w:rPr>
        <w:t> ;</w:t>
      </w:r>
    </w:p>
    <w:p w14:paraId="5CF3DFFA" w14:textId="6E8F0A6E" w:rsidR="00BC4CCE" w:rsidRPr="00E3176A" w:rsidRDefault="00BC4CCE" w:rsidP="00DC47FD">
      <w:pPr>
        <w:pStyle w:val="Paragraphedeliste"/>
        <w:numPr>
          <w:ilvl w:val="1"/>
          <w:numId w:val="5"/>
        </w:numPr>
        <w:rPr>
          <w:color w:val="000000" w:themeColor="text1"/>
        </w:rPr>
      </w:pPr>
      <w:r w:rsidRPr="00E3176A">
        <w:rPr>
          <w:color w:val="000000" w:themeColor="text1"/>
        </w:rPr>
        <w:t>l</w:t>
      </w:r>
      <w:r w:rsidR="00DC47FD" w:rsidRPr="00E3176A">
        <w:rPr>
          <w:color w:val="000000" w:themeColor="text1"/>
        </w:rPr>
        <w:t>es principes de</w:t>
      </w:r>
      <w:r w:rsidRPr="00E3176A">
        <w:rPr>
          <w:color w:val="000000" w:themeColor="text1"/>
        </w:rPr>
        <w:t xml:space="preserve"> gestion documentaire </w:t>
      </w:r>
      <w:r w:rsidR="00DC47FD" w:rsidRPr="00E3176A">
        <w:rPr>
          <w:color w:val="000000" w:themeColor="text1"/>
        </w:rPr>
        <w:t>proposés pour</w:t>
      </w:r>
      <w:r w:rsidRPr="00E3176A">
        <w:rPr>
          <w:color w:val="000000" w:themeColor="text1"/>
        </w:rPr>
        <w:t xml:space="preserve"> la mission ;</w:t>
      </w:r>
    </w:p>
    <w:p w14:paraId="4AB35D9F" w14:textId="1832A867" w:rsidR="00DC47FD" w:rsidRDefault="00DC47FD" w:rsidP="00BC4CCE">
      <w:pPr>
        <w:pStyle w:val="Paragraphedeliste"/>
        <w:numPr>
          <w:ilvl w:val="1"/>
          <w:numId w:val="5"/>
        </w:numPr>
        <w:rPr>
          <w:color w:val="000000" w:themeColor="text1"/>
        </w:rPr>
      </w:pPr>
      <w:r w:rsidRPr="00E3176A">
        <w:rPr>
          <w:color w:val="000000" w:themeColor="text1"/>
        </w:rPr>
        <w:t>la méthodologie d’élaboration des livrables ;</w:t>
      </w:r>
    </w:p>
    <w:p w14:paraId="6A7343EB" w14:textId="77777777" w:rsidR="00334153" w:rsidRDefault="00334153" w:rsidP="00334153">
      <w:pPr>
        <w:pStyle w:val="Paragraphedeliste"/>
        <w:ind w:left="1440"/>
        <w:rPr>
          <w:color w:val="000000" w:themeColor="text1"/>
        </w:rPr>
      </w:pPr>
    </w:p>
    <w:p w14:paraId="38F00FF0" w14:textId="09614C48" w:rsidR="00BC4CCE" w:rsidRPr="00334153" w:rsidRDefault="00334153" w:rsidP="00334153">
      <w:pPr>
        <w:pStyle w:val="Paragraphedeliste"/>
        <w:numPr>
          <w:ilvl w:val="0"/>
          <w:numId w:val="5"/>
        </w:numPr>
        <w:rPr>
          <w:color w:val="000000" w:themeColor="text1"/>
        </w:rPr>
      </w:pPr>
      <w:r>
        <w:rPr>
          <w:color w:val="000000" w:themeColor="text1"/>
        </w:rPr>
        <w:t>une note de présentation des moyens humains mobilisés pour la réalisation des prestations (CV des intervenants, organisation, encadrement)</w:t>
      </w:r>
    </w:p>
    <w:p w14:paraId="1C01DDB2" w14:textId="77777777" w:rsidR="009D54AA" w:rsidRPr="007D1BC1" w:rsidRDefault="009D54AA" w:rsidP="00BC4CCE">
      <w:pPr>
        <w:pStyle w:val="Paragraphedeliste"/>
        <w:ind w:left="1440"/>
      </w:pPr>
    </w:p>
    <w:p w14:paraId="1678E9A0" w14:textId="0AFF0482" w:rsidR="005769A3" w:rsidRPr="007D1BC1" w:rsidRDefault="005769A3" w:rsidP="005769A3">
      <w:pPr>
        <w:pStyle w:val="Titre4"/>
      </w:pPr>
      <w:r w:rsidRPr="007D1BC1">
        <w:lastRenderedPageBreak/>
        <w:t xml:space="preserve">Article </w:t>
      </w:r>
      <w:r w:rsidR="00BF08C0" w:rsidRPr="007D1BC1">
        <w:t>4</w:t>
      </w:r>
      <w:r w:rsidRPr="007D1BC1">
        <w:t>.3 – Dépôt des dossiers</w:t>
      </w:r>
    </w:p>
    <w:p w14:paraId="790C0F81" w14:textId="239245C5" w:rsidR="005769A3" w:rsidRPr="007D1BC1" w:rsidRDefault="005769A3" w:rsidP="005769A3">
      <w:pPr>
        <w:pStyle w:val="Titre5"/>
        <w:jc w:val="both"/>
      </w:pPr>
      <w:r w:rsidRPr="007D1BC1">
        <w:t xml:space="preserve">Article </w:t>
      </w:r>
      <w:r w:rsidR="00BF08C0" w:rsidRPr="007D1BC1">
        <w:t>4</w:t>
      </w:r>
      <w:r w:rsidRPr="007D1BC1">
        <w:t>.</w:t>
      </w:r>
      <w:r w:rsidR="005A6181" w:rsidRPr="007D1BC1">
        <w:t>3</w:t>
      </w:r>
      <w:r w:rsidRPr="007D1BC1">
        <w:t>.1 – Transmission électronique</w:t>
      </w:r>
    </w:p>
    <w:p w14:paraId="5EBBB196" w14:textId="4DBAB2FF" w:rsidR="005769A3" w:rsidRPr="007D1BC1" w:rsidRDefault="005769A3" w:rsidP="005769A3">
      <w:r w:rsidRPr="007D1BC1">
        <w:t>La remise des dossiers s’effectue exclusivement de manière dématérialisée sur le profil acheteur dans les conditions particulières suivantes :</w:t>
      </w:r>
    </w:p>
    <w:p w14:paraId="2B42F9A5" w14:textId="5C951490" w:rsidR="00BF08C0" w:rsidRPr="007D1BC1" w:rsidRDefault="00BF08C0" w:rsidP="005769A3">
      <w:r w:rsidRPr="007B7A15">
        <w:rPr>
          <w:shd w:val="clear" w:color="auto" w:fill="95B3D7" w:themeFill="accent1" w:themeFillTint="99"/>
        </w:rPr>
        <w:t>[L’acheteur identifie ici les modalités particulières liées à son profil acheteur ou à ses exigences particulières, notamment en matière d’organisation, de nommage et de format des fichiers]</w:t>
      </w:r>
    </w:p>
    <w:p w14:paraId="66916914" w14:textId="2398DA30" w:rsidR="005769A3" w:rsidRPr="007D1BC1" w:rsidRDefault="005769A3" w:rsidP="005769A3">
      <w:pPr>
        <w:pStyle w:val="Titre5"/>
        <w:jc w:val="both"/>
      </w:pPr>
      <w:r w:rsidRPr="007D1BC1">
        <w:t xml:space="preserve">Article </w:t>
      </w:r>
      <w:r w:rsidR="00BF08C0" w:rsidRPr="007D1BC1">
        <w:t>4</w:t>
      </w:r>
      <w:r w:rsidRPr="007D1BC1">
        <w:t>.</w:t>
      </w:r>
      <w:r w:rsidR="005A6181" w:rsidRPr="007D1BC1">
        <w:t>3</w:t>
      </w:r>
      <w:r w:rsidRPr="007D1BC1">
        <w:t>.2 – Copie de sauvegarde</w:t>
      </w:r>
    </w:p>
    <w:p w14:paraId="7379182D" w14:textId="77777777" w:rsidR="005769A3" w:rsidRPr="007D1BC1" w:rsidRDefault="005769A3" w:rsidP="005769A3">
      <w:r w:rsidRPr="007D1BC1">
        <w:t xml:space="preserve">Les candidats peuvent également transmettre, dans le délai imparti, une copie de sauvegarde sur support papier ou support physique électronique (CD-Rom, DVD-Rom, ou clé USB). Cette copie est transmise sous pli scellé et comporte les mentions suivantes : </w:t>
      </w:r>
    </w:p>
    <w:p w14:paraId="07A1767B" w14:textId="54BC2E08" w:rsidR="005769A3" w:rsidRPr="007D1BC1" w:rsidRDefault="005769A3" w:rsidP="005769A3">
      <w:pPr>
        <w:rPr>
          <w:shd w:val="clear" w:color="auto" w:fill="95B3D7" w:themeFill="accent1" w:themeFillTint="99"/>
        </w:rPr>
      </w:pPr>
      <w:r w:rsidRPr="007D1BC1">
        <w:t xml:space="preserve">‘Copie de sauvegarde – Candidature pour le </w:t>
      </w:r>
      <w:r w:rsidR="00BC4CCE" w:rsidRPr="007D1BC1">
        <w:t>marché</w:t>
      </w:r>
      <w:r w:rsidRPr="007D1BC1">
        <w:t xml:space="preserve"> </w:t>
      </w:r>
      <w:r w:rsidRPr="007B7A15">
        <w:rPr>
          <w:shd w:val="clear" w:color="auto" w:fill="95B3D7" w:themeFill="accent1" w:themeFillTint="99"/>
        </w:rPr>
        <w:t>…………………………………………………………</w:t>
      </w:r>
    </w:p>
    <w:p w14:paraId="584AF12C" w14:textId="239F3C27" w:rsidR="005769A3" w:rsidRPr="007D1BC1" w:rsidRDefault="005769A3" w:rsidP="005769A3">
      <w:r w:rsidRPr="007D1BC1">
        <w:t xml:space="preserve">Les conditions d’ouverture et d’utilisation de la copie de sauvegarde par l’acheteur sont définies à l’article 2 de l’annexe n°6 du </w:t>
      </w:r>
      <w:r w:rsidR="00BF08C0" w:rsidRPr="007D1BC1">
        <w:t>code de la commande publique</w:t>
      </w:r>
      <w:r w:rsidRPr="007D1BC1">
        <w:t xml:space="preserve">. </w:t>
      </w:r>
    </w:p>
    <w:p w14:paraId="4E13106E" w14:textId="599E0501" w:rsidR="005769A3" w:rsidRPr="007D1BC1" w:rsidRDefault="005769A3" w:rsidP="005769A3">
      <w:pPr>
        <w:pStyle w:val="Titre4"/>
      </w:pPr>
      <w:r w:rsidRPr="007D1BC1">
        <w:t xml:space="preserve">Article </w:t>
      </w:r>
      <w:r w:rsidR="00BF08C0" w:rsidRPr="007D1BC1">
        <w:t>4</w:t>
      </w:r>
      <w:r w:rsidRPr="007D1BC1">
        <w:t>.</w:t>
      </w:r>
      <w:r w:rsidR="005A6181" w:rsidRPr="007D1BC1">
        <w:t>4</w:t>
      </w:r>
      <w:r w:rsidRPr="007D1BC1">
        <w:t xml:space="preserve"> – Date limite de transmission des </w:t>
      </w:r>
      <w:r w:rsidR="005A6181" w:rsidRPr="007D1BC1">
        <w:t>dossiers</w:t>
      </w:r>
    </w:p>
    <w:p w14:paraId="4C6A37EF" w14:textId="6886D762" w:rsidR="005769A3" w:rsidRPr="007D1BC1" w:rsidRDefault="005769A3" w:rsidP="005769A3">
      <w:pPr>
        <w:rPr>
          <w:shd w:val="clear" w:color="auto" w:fill="95B3D7" w:themeFill="accent1" w:themeFillTint="99"/>
        </w:rPr>
      </w:pPr>
      <w:r w:rsidRPr="007D1BC1">
        <w:t xml:space="preserve">Les </w:t>
      </w:r>
      <w:r w:rsidR="005A6181" w:rsidRPr="007D1BC1">
        <w:t xml:space="preserve">dossiers de </w:t>
      </w:r>
      <w:r w:rsidRPr="007D1BC1">
        <w:t>candidature</w:t>
      </w:r>
      <w:r w:rsidR="005A6181" w:rsidRPr="007D1BC1">
        <w:t xml:space="preserve"> et d’offre</w:t>
      </w:r>
      <w:r w:rsidRPr="007D1BC1">
        <w:t xml:space="preserve"> doivent être transmis au plus tard le </w:t>
      </w:r>
      <w:r w:rsidRPr="007B7A15">
        <w:rPr>
          <w:shd w:val="clear" w:color="auto" w:fill="95B3D7" w:themeFill="accent1" w:themeFillTint="99"/>
        </w:rPr>
        <w:t>JJ</w:t>
      </w:r>
      <w:r w:rsidRPr="007D1BC1">
        <w:t>/</w:t>
      </w:r>
      <w:r w:rsidRPr="007B7A15">
        <w:rPr>
          <w:shd w:val="clear" w:color="auto" w:fill="95B3D7" w:themeFill="accent1" w:themeFillTint="99"/>
        </w:rPr>
        <w:t>MM</w:t>
      </w:r>
      <w:r w:rsidRPr="007D1BC1">
        <w:t>/</w:t>
      </w:r>
      <w:r w:rsidRPr="007B7A15">
        <w:rPr>
          <w:shd w:val="clear" w:color="auto" w:fill="95B3D7" w:themeFill="accent1" w:themeFillTint="99"/>
        </w:rPr>
        <w:t>AAAA</w:t>
      </w:r>
      <w:r w:rsidRPr="007D1BC1">
        <w:t xml:space="preserve"> à </w:t>
      </w:r>
      <w:r w:rsidRPr="007B7A15">
        <w:rPr>
          <w:shd w:val="clear" w:color="auto" w:fill="95B3D7" w:themeFill="accent1" w:themeFillTint="99"/>
        </w:rPr>
        <w:t>XX</w:t>
      </w:r>
      <w:r w:rsidRPr="007D1BC1">
        <w:t>h</w:t>
      </w:r>
      <w:r w:rsidRPr="007B7A15">
        <w:rPr>
          <w:shd w:val="clear" w:color="auto" w:fill="95B3D7" w:themeFill="accent1" w:themeFillTint="99"/>
        </w:rPr>
        <w:t>XX</w:t>
      </w:r>
    </w:p>
    <w:p w14:paraId="786A5FEF" w14:textId="1E908991" w:rsidR="005A6181" w:rsidRPr="007D1BC1" w:rsidRDefault="005A6181" w:rsidP="005A6181">
      <w:pPr>
        <w:pStyle w:val="Titre2"/>
      </w:pPr>
      <w:r w:rsidRPr="007D1BC1">
        <w:t xml:space="preserve">Article </w:t>
      </w:r>
      <w:r w:rsidR="00BF08C0" w:rsidRPr="007D1BC1">
        <w:t>5</w:t>
      </w:r>
      <w:r w:rsidRPr="007D1BC1">
        <w:t xml:space="preserve"> – EXAMEN DES CANDIDATURES ET ANALYSE des offres</w:t>
      </w:r>
    </w:p>
    <w:p w14:paraId="21F09BDA" w14:textId="7E77F19D" w:rsidR="005769A3" w:rsidRPr="007D1BC1" w:rsidRDefault="005769A3" w:rsidP="005769A3">
      <w:pPr>
        <w:pStyle w:val="Titre4"/>
      </w:pPr>
      <w:r w:rsidRPr="007D1BC1">
        <w:t xml:space="preserve">Article </w:t>
      </w:r>
      <w:r w:rsidR="00BF08C0" w:rsidRPr="007D1BC1">
        <w:t>5</w:t>
      </w:r>
      <w:r w:rsidRPr="007D1BC1">
        <w:t>.</w:t>
      </w:r>
      <w:r w:rsidR="005A6181" w:rsidRPr="007D1BC1">
        <w:t>1</w:t>
      </w:r>
      <w:r w:rsidRPr="007D1BC1">
        <w:t xml:space="preserve"> – </w:t>
      </w:r>
      <w:r w:rsidR="008673F0" w:rsidRPr="007D1BC1">
        <w:t>Régularisation des dossiers</w:t>
      </w:r>
    </w:p>
    <w:p w14:paraId="2697AD60" w14:textId="15E9830D" w:rsidR="005769A3" w:rsidRPr="007D1BC1" w:rsidRDefault="005769A3" w:rsidP="005769A3">
      <w:r w:rsidRPr="007D1BC1">
        <w:t xml:space="preserve">En application de l’article R. 2144-2 du </w:t>
      </w:r>
      <w:r w:rsidR="00BF08C0" w:rsidRPr="007D1BC1">
        <w:t>code de la commande publique</w:t>
      </w:r>
      <w:r w:rsidRPr="007D1BC1">
        <w:t xml:space="preserve">, si des pièces ou informations dont la présentation était réclamée au titre de la candidature sont absentes ou incomplètes, l’acheteur pourra demander à tous les candidats concernés de compléter leur dossier de candidature dans un délai de </w:t>
      </w:r>
      <w:r w:rsidRPr="007B7A15">
        <w:rPr>
          <w:shd w:val="clear" w:color="auto" w:fill="95B3D7" w:themeFill="accent1" w:themeFillTint="99"/>
        </w:rPr>
        <w:t>XX</w:t>
      </w:r>
      <w:r w:rsidRPr="007D1BC1">
        <w:t xml:space="preserve"> jours, identique pour tous.</w:t>
      </w:r>
    </w:p>
    <w:p w14:paraId="5E5BD4B4" w14:textId="31C12A6B" w:rsidR="00034748" w:rsidRPr="007D1BC1" w:rsidRDefault="00034748" w:rsidP="005769A3">
      <w:r w:rsidRPr="007D1BC1">
        <w:t xml:space="preserve">Conformément à l’article R. 2152-2 du code de la commande publique, lors de l’examen des offres, l’acheteur peut autoriser les soumissionnaires ayant remis des offres irrégulières, à l’exception des offres anormalement basses, à régulariser leurs offres dans un délai approprié identique pour tous les concernés. La régularisation des offres ne peut avoir pour effet d’en modifier des caractéristiques essentielles. </w:t>
      </w:r>
    </w:p>
    <w:p w14:paraId="5C36AD14" w14:textId="0961D239" w:rsidR="005A6181" w:rsidRPr="00E3176A" w:rsidRDefault="005A6181" w:rsidP="005A6181">
      <w:pPr>
        <w:pStyle w:val="Titre4"/>
      </w:pPr>
      <w:r w:rsidRPr="00E3176A">
        <w:t xml:space="preserve">Article </w:t>
      </w:r>
      <w:r w:rsidR="00BF08C0" w:rsidRPr="00E3176A">
        <w:t>5</w:t>
      </w:r>
      <w:r w:rsidRPr="00E3176A">
        <w:t xml:space="preserve">.2 – Analyse des offres </w:t>
      </w:r>
    </w:p>
    <w:p w14:paraId="532D976F" w14:textId="05872AE3" w:rsidR="005A6181" w:rsidRPr="00E3176A" w:rsidRDefault="005A6181" w:rsidP="005A6181">
      <w:pPr>
        <w:rPr>
          <w:color w:val="000000" w:themeColor="text1"/>
        </w:rPr>
      </w:pPr>
      <w:r w:rsidRPr="00E3176A">
        <w:rPr>
          <w:color w:val="000000" w:themeColor="text1"/>
        </w:rPr>
        <w:t xml:space="preserve">Après s’être assuré de la </w:t>
      </w:r>
      <w:r w:rsidR="00E80599" w:rsidRPr="00E3176A">
        <w:rPr>
          <w:color w:val="000000" w:themeColor="text1"/>
        </w:rPr>
        <w:t>recevabilité</w:t>
      </w:r>
      <w:r w:rsidRPr="00E3176A">
        <w:rPr>
          <w:color w:val="000000" w:themeColor="text1"/>
        </w:rPr>
        <w:t xml:space="preserve"> des candidatures au regard des conditions de participation définies à l’article </w:t>
      </w:r>
      <w:r w:rsidR="00BF08C0" w:rsidRPr="00E3176A">
        <w:rPr>
          <w:color w:val="000000" w:themeColor="text1"/>
        </w:rPr>
        <w:t>3</w:t>
      </w:r>
      <w:r w:rsidR="00034748" w:rsidRPr="00E3176A">
        <w:rPr>
          <w:color w:val="000000" w:themeColor="text1"/>
        </w:rPr>
        <w:t xml:space="preserve"> et de la régularité des offres des soumissionnaires</w:t>
      </w:r>
      <w:r w:rsidR="00E80599" w:rsidRPr="00E3176A">
        <w:rPr>
          <w:color w:val="000000" w:themeColor="text1"/>
        </w:rPr>
        <w:t xml:space="preserve">, l’acheteur évaluera les offres </w:t>
      </w:r>
      <w:r w:rsidR="0017167E" w:rsidRPr="00E3176A">
        <w:rPr>
          <w:color w:val="000000" w:themeColor="text1"/>
        </w:rPr>
        <w:t>selon les critères de choix suivants :</w:t>
      </w:r>
    </w:p>
    <w:p w14:paraId="33FC5D2C" w14:textId="4F973244" w:rsidR="00F54E8F" w:rsidRPr="00E3176A" w:rsidRDefault="00F54E8F" w:rsidP="008938B3">
      <w:pPr>
        <w:pStyle w:val="Paragraphedeliste"/>
        <w:numPr>
          <w:ilvl w:val="0"/>
          <w:numId w:val="6"/>
        </w:numPr>
        <w:rPr>
          <w:color w:val="000000" w:themeColor="text1"/>
        </w:rPr>
      </w:pPr>
      <w:r w:rsidRPr="00E3176A">
        <w:rPr>
          <w:color w:val="000000" w:themeColor="text1"/>
        </w:rPr>
        <w:t>Qualité de l’approche méthodologique</w:t>
      </w:r>
      <w:r w:rsidR="0017167E" w:rsidRPr="00E3176A">
        <w:rPr>
          <w:color w:val="000000" w:themeColor="text1"/>
        </w:rPr>
        <w:t xml:space="preserve">, appréciée d’après </w:t>
      </w:r>
      <w:r w:rsidR="00DC47FD" w:rsidRPr="00E3176A">
        <w:rPr>
          <w:color w:val="000000" w:themeColor="text1"/>
        </w:rPr>
        <w:t>les éléments décrits</w:t>
      </w:r>
      <w:r w:rsidRPr="00E3176A">
        <w:rPr>
          <w:color w:val="000000" w:themeColor="text1"/>
        </w:rPr>
        <w:t xml:space="preserve"> dans </w:t>
      </w:r>
      <w:r w:rsidR="0017167E" w:rsidRPr="00E3176A">
        <w:rPr>
          <w:color w:val="000000" w:themeColor="text1"/>
        </w:rPr>
        <w:t>le mémoire technique</w:t>
      </w:r>
      <w:r w:rsidRPr="00E3176A">
        <w:rPr>
          <w:color w:val="000000" w:themeColor="text1"/>
        </w:rPr>
        <w:t xml:space="preserve"> </w:t>
      </w:r>
      <w:r w:rsidRPr="00E3176A">
        <w:rPr>
          <w:b/>
          <w:bCs/>
          <w:color w:val="000000" w:themeColor="text1"/>
        </w:rPr>
        <w:t>– 40%</w:t>
      </w:r>
    </w:p>
    <w:p w14:paraId="10C30005" w14:textId="23DF13C2" w:rsidR="0017167E" w:rsidRPr="00E3176A" w:rsidRDefault="00F54E8F" w:rsidP="008938B3">
      <w:pPr>
        <w:pStyle w:val="Paragraphedeliste"/>
        <w:numPr>
          <w:ilvl w:val="0"/>
          <w:numId w:val="6"/>
        </w:numPr>
        <w:rPr>
          <w:color w:val="000000" w:themeColor="text1"/>
        </w:rPr>
      </w:pPr>
      <w:r w:rsidRPr="00E3176A">
        <w:rPr>
          <w:color w:val="000000" w:themeColor="text1"/>
        </w:rPr>
        <w:t xml:space="preserve">Qualité de l’équipe dédiée, appréciée selon le niveau des intervenants (qualification et expérience professionnelle) sélectionnés pour réaliser les prestations du marché </w:t>
      </w:r>
      <w:r w:rsidR="0017167E" w:rsidRPr="00E3176A">
        <w:rPr>
          <w:b/>
          <w:bCs/>
          <w:color w:val="000000" w:themeColor="text1"/>
        </w:rPr>
        <w:t xml:space="preserve">– </w:t>
      </w:r>
      <w:r w:rsidRPr="00E3176A">
        <w:rPr>
          <w:b/>
          <w:bCs/>
          <w:color w:val="000000" w:themeColor="text1"/>
        </w:rPr>
        <w:t>30</w:t>
      </w:r>
      <w:r w:rsidR="0017167E" w:rsidRPr="00E3176A">
        <w:rPr>
          <w:b/>
          <w:bCs/>
          <w:color w:val="000000" w:themeColor="text1"/>
        </w:rPr>
        <w:t>%</w:t>
      </w:r>
    </w:p>
    <w:p w14:paraId="418353C7" w14:textId="56FDBFA6" w:rsidR="0017167E" w:rsidRPr="00E3176A" w:rsidRDefault="0017167E" w:rsidP="008938B3">
      <w:pPr>
        <w:pStyle w:val="Paragraphedeliste"/>
        <w:numPr>
          <w:ilvl w:val="0"/>
          <w:numId w:val="6"/>
        </w:numPr>
        <w:rPr>
          <w:color w:val="000000" w:themeColor="text1"/>
        </w:rPr>
      </w:pPr>
      <w:r w:rsidRPr="00E3176A">
        <w:rPr>
          <w:color w:val="000000" w:themeColor="text1"/>
        </w:rPr>
        <w:t xml:space="preserve">Prix, apprécié d’après </w:t>
      </w:r>
      <w:r w:rsidR="00E3176A">
        <w:rPr>
          <w:color w:val="000000" w:themeColor="text1"/>
        </w:rPr>
        <w:t>le montant forfaitaire renseigné dans l’acte d’engagement</w:t>
      </w:r>
      <w:r w:rsidRPr="00E3176A">
        <w:rPr>
          <w:color w:val="000000" w:themeColor="text1"/>
        </w:rPr>
        <w:t xml:space="preserve">  </w:t>
      </w:r>
      <w:r w:rsidRPr="00E3176A">
        <w:rPr>
          <w:b/>
          <w:bCs/>
          <w:color w:val="000000" w:themeColor="text1"/>
        </w:rPr>
        <w:t>- 3</w:t>
      </w:r>
      <w:r w:rsidR="00F54E8F" w:rsidRPr="00E3176A">
        <w:rPr>
          <w:b/>
          <w:bCs/>
          <w:color w:val="000000" w:themeColor="text1"/>
        </w:rPr>
        <w:t>0</w:t>
      </w:r>
      <w:r w:rsidRPr="00E3176A">
        <w:rPr>
          <w:b/>
          <w:bCs/>
          <w:color w:val="000000" w:themeColor="text1"/>
        </w:rPr>
        <w:t>%</w:t>
      </w:r>
    </w:p>
    <w:p w14:paraId="25DA2648" w14:textId="2A42B089" w:rsidR="00D82D1B" w:rsidRPr="00E3176A" w:rsidRDefault="00D82D1B" w:rsidP="00D82D1B">
      <w:pPr>
        <w:rPr>
          <w:color w:val="000000" w:themeColor="text1"/>
        </w:rPr>
      </w:pPr>
      <w:r w:rsidRPr="00E3176A">
        <w:rPr>
          <w:color w:val="000000" w:themeColor="text1"/>
        </w:rPr>
        <w:t>L’acheteur procédera à une notation des offres sur 100 afin de classer les soumissionnaires et déterminer l’offre économiquement la plus avantageuse.</w:t>
      </w:r>
    </w:p>
    <w:p w14:paraId="0D69EE3F" w14:textId="6490E935" w:rsidR="003E0132" w:rsidRPr="007D1BC1" w:rsidRDefault="005578C3" w:rsidP="005578C3">
      <w:pPr>
        <w:pStyle w:val="Titre2"/>
      </w:pPr>
      <w:bookmarkStart w:id="15" w:name="_Toc34988893"/>
      <w:bookmarkStart w:id="16" w:name="_Toc43826772"/>
      <w:r w:rsidRPr="007D1BC1">
        <w:t xml:space="preserve">Article </w:t>
      </w:r>
      <w:r w:rsidR="00BF08C0" w:rsidRPr="007D1BC1">
        <w:t>6</w:t>
      </w:r>
      <w:r w:rsidRPr="007D1BC1">
        <w:t xml:space="preserve"> – </w:t>
      </w:r>
      <w:bookmarkEnd w:id="15"/>
      <w:bookmarkEnd w:id="16"/>
      <w:r w:rsidR="005A6181" w:rsidRPr="007D1BC1">
        <w:t>n</w:t>
      </w:r>
      <w:r w:rsidR="00AA0E53" w:rsidRPr="007D1BC1">
        <w:t>É</w:t>
      </w:r>
      <w:r w:rsidR="005A6181" w:rsidRPr="007D1BC1">
        <w:t>gociation</w:t>
      </w:r>
      <w:r w:rsidR="0033739D" w:rsidRPr="007D1BC1">
        <w:t>s</w:t>
      </w:r>
    </w:p>
    <w:p w14:paraId="75C0E0BF" w14:textId="071ECC7E" w:rsidR="00034748" w:rsidRPr="007D1BC1" w:rsidRDefault="00034748" w:rsidP="00034748">
      <w:pPr>
        <w:jc w:val="both"/>
        <w:rPr>
          <w:rFonts w:cs="Arial"/>
          <w:szCs w:val="19"/>
        </w:rPr>
      </w:pPr>
      <w:r w:rsidRPr="007B7A15">
        <w:rPr>
          <w:shd w:val="clear" w:color="auto" w:fill="95B3D7" w:themeFill="accent1" w:themeFillTint="99"/>
        </w:rPr>
        <w:sym w:font="Wingdings" w:char="F071"/>
      </w:r>
      <w:r w:rsidRPr="007D1BC1">
        <w:rPr>
          <w:rFonts w:cs="Arial"/>
          <w:color w:val="000000"/>
          <w:szCs w:val="19"/>
        </w:rPr>
        <w:t xml:space="preserve"> </w:t>
      </w:r>
      <w:r w:rsidRPr="007D1BC1">
        <w:rPr>
          <w:rFonts w:cs="Arial"/>
          <w:szCs w:val="19"/>
        </w:rPr>
        <w:t>L’acheteur ne négociera pas avec les soumissionnaires</w:t>
      </w:r>
      <w:r w:rsidR="0033739D" w:rsidRPr="007D1BC1">
        <w:rPr>
          <w:rFonts w:cs="Arial"/>
          <w:szCs w:val="19"/>
        </w:rPr>
        <w:t xml:space="preserve"> et </w:t>
      </w:r>
      <w:r w:rsidR="00AA0E53" w:rsidRPr="007D1BC1">
        <w:rPr>
          <w:rFonts w:cs="Arial"/>
          <w:szCs w:val="19"/>
        </w:rPr>
        <w:t>le marché</w:t>
      </w:r>
      <w:r w:rsidR="0033739D" w:rsidRPr="007D1BC1">
        <w:rPr>
          <w:rFonts w:cs="Arial"/>
          <w:szCs w:val="19"/>
        </w:rPr>
        <w:t xml:space="preserve"> sera attribué sur la base des offres initiales ou régularisées. </w:t>
      </w:r>
      <w:r w:rsidRPr="007D1BC1">
        <w:rPr>
          <w:rFonts w:cs="Arial"/>
          <w:szCs w:val="19"/>
        </w:rPr>
        <w:t xml:space="preserve"> </w:t>
      </w:r>
    </w:p>
    <w:p w14:paraId="038D7456" w14:textId="7C6BD798" w:rsidR="00D82D1B" w:rsidRPr="007D1BC1" w:rsidRDefault="00034748" w:rsidP="00034748">
      <w:pPr>
        <w:jc w:val="both"/>
        <w:rPr>
          <w:rFonts w:cs="Arial"/>
          <w:szCs w:val="19"/>
        </w:rPr>
      </w:pPr>
      <w:r w:rsidRPr="007B7A15">
        <w:rPr>
          <w:shd w:val="clear" w:color="auto" w:fill="95B3D7" w:themeFill="accent1" w:themeFillTint="99"/>
        </w:rPr>
        <w:sym w:font="Wingdings" w:char="F071"/>
      </w:r>
      <w:r w:rsidRPr="007D1BC1">
        <w:rPr>
          <w:rFonts w:cs="Arial"/>
          <w:color w:val="000000"/>
          <w:szCs w:val="19"/>
        </w:rPr>
        <w:t xml:space="preserve"> </w:t>
      </w:r>
      <w:r w:rsidR="00AF3000" w:rsidRPr="007D1BC1">
        <w:t xml:space="preserve">Conformément à l'article R. 2123-5 du code de la commande publique, l’acheteur a prévu la possibilité de négocier mais se réserve le droit d'attribuer </w:t>
      </w:r>
      <w:r w:rsidR="00AA0E53" w:rsidRPr="007D1BC1">
        <w:t>le marché</w:t>
      </w:r>
      <w:r w:rsidR="00AF3000" w:rsidRPr="007D1BC1">
        <w:t xml:space="preserve"> sans mener de négociations.</w:t>
      </w:r>
      <w:r w:rsidR="00AF3000" w:rsidRPr="007D1BC1">
        <w:rPr>
          <w:rFonts w:cs="Arial"/>
          <w:color w:val="000000"/>
          <w:szCs w:val="19"/>
        </w:rPr>
        <w:t xml:space="preserve"> </w:t>
      </w:r>
      <w:r w:rsidR="00D82D1B" w:rsidRPr="007D1BC1">
        <w:rPr>
          <w:rFonts w:cs="Arial"/>
          <w:szCs w:val="19"/>
        </w:rPr>
        <w:t xml:space="preserve">Sur la base de l’analyse initiale des offres, l’acheteur </w:t>
      </w:r>
      <w:r w:rsidR="00AF3000" w:rsidRPr="007D1BC1">
        <w:rPr>
          <w:rFonts w:cs="Arial"/>
          <w:szCs w:val="19"/>
        </w:rPr>
        <w:t>pourra négocier</w:t>
      </w:r>
      <w:r w:rsidR="00D82D1B" w:rsidRPr="007D1BC1">
        <w:rPr>
          <w:rFonts w:cs="Arial"/>
          <w:szCs w:val="19"/>
        </w:rPr>
        <w:t xml:space="preserve"> avec les </w:t>
      </w:r>
      <w:r w:rsidR="00D82D1B" w:rsidRPr="007B7A15">
        <w:rPr>
          <w:shd w:val="clear" w:color="auto" w:fill="95B3D7" w:themeFill="accent1" w:themeFillTint="99"/>
        </w:rPr>
        <w:t>X</w:t>
      </w:r>
      <w:r w:rsidR="00D82D1B" w:rsidRPr="007D1BC1">
        <w:t xml:space="preserve"> </w:t>
      </w:r>
      <w:r w:rsidR="00D82D1B" w:rsidRPr="007D1BC1">
        <w:rPr>
          <w:rFonts w:cs="Arial"/>
          <w:szCs w:val="19"/>
        </w:rPr>
        <w:t xml:space="preserve">soumissionnaires les mieux classés.  </w:t>
      </w:r>
    </w:p>
    <w:p w14:paraId="1E8AFFAB" w14:textId="2AB50DFE" w:rsidR="00D82D1B" w:rsidRPr="007D1BC1" w:rsidRDefault="00D82D1B" w:rsidP="00034748">
      <w:pPr>
        <w:jc w:val="both"/>
        <w:rPr>
          <w:rFonts w:cs="Arial"/>
          <w:szCs w:val="19"/>
        </w:rPr>
      </w:pPr>
      <w:r w:rsidRPr="007D1BC1">
        <w:rPr>
          <w:rFonts w:cs="Arial"/>
          <w:szCs w:val="19"/>
        </w:rPr>
        <w:lastRenderedPageBreak/>
        <w:t>L’acheteur informera les soumissionnaires</w:t>
      </w:r>
      <w:r w:rsidR="0033739D" w:rsidRPr="007D1BC1">
        <w:rPr>
          <w:rFonts w:cs="Arial"/>
          <w:szCs w:val="19"/>
        </w:rPr>
        <w:t>, par l’intermédiaire de son profil acheteur,</w:t>
      </w:r>
      <w:r w:rsidRPr="007D1BC1">
        <w:rPr>
          <w:rFonts w:cs="Arial"/>
          <w:szCs w:val="19"/>
        </w:rPr>
        <w:t xml:space="preserve"> des modalités d’organisation des négociations</w:t>
      </w:r>
      <w:r w:rsidR="0033739D" w:rsidRPr="007D1BC1">
        <w:rPr>
          <w:rFonts w:cs="Arial"/>
          <w:szCs w:val="19"/>
        </w:rPr>
        <w:t xml:space="preserve">. </w:t>
      </w:r>
    </w:p>
    <w:p w14:paraId="037AE571" w14:textId="7EE6A43C" w:rsidR="00034748" w:rsidRPr="007D1BC1" w:rsidRDefault="00D82D1B" w:rsidP="00034748">
      <w:pPr>
        <w:jc w:val="both"/>
      </w:pPr>
      <w:r w:rsidRPr="007D1BC1">
        <w:t xml:space="preserve">Les négociations pourront être conduites oralement ou par écrit. Elles auront lieu soit par voie dématérialisée, soit par des réunions présentielles initiées par l’acheteur. </w:t>
      </w:r>
    </w:p>
    <w:p w14:paraId="55793EA5" w14:textId="329EF59D" w:rsidR="00D82D1B" w:rsidRPr="007D1BC1" w:rsidRDefault="00334153" w:rsidP="00034748">
      <w:pPr>
        <w:jc w:val="both"/>
      </w:pPr>
      <w:r>
        <w:t xml:space="preserve">La négociation pourra </w:t>
      </w:r>
      <w:r w:rsidR="00D82D1B" w:rsidRPr="007D1BC1">
        <w:t xml:space="preserve">porter sur tous les aspects de l’offre, aussi bien techniques que financiers. Les soumissionnaires bénéficieront d’un délai approprié et identique pour transmettre leurs nouvelles offres ou maintenir leur offre initiale, selon des modalités qui seront définies par l’acheteur. </w:t>
      </w:r>
    </w:p>
    <w:p w14:paraId="438EC1E1" w14:textId="1E836C06" w:rsidR="0033739D" w:rsidRPr="007D1BC1" w:rsidRDefault="00D82D1B" w:rsidP="00034748">
      <w:pPr>
        <w:jc w:val="both"/>
      </w:pPr>
      <w:r w:rsidRPr="007D1BC1">
        <w:t xml:space="preserve">A l’issue de </w:t>
      </w:r>
      <w:r w:rsidR="0033739D" w:rsidRPr="007D1BC1">
        <w:t xml:space="preserve">la phase de négociation, l’acheteur procèdera, le cas échéant et sur la base des critères de choix définis à l’article </w:t>
      </w:r>
      <w:r w:rsidR="00BF08C0" w:rsidRPr="007D1BC1">
        <w:t>5</w:t>
      </w:r>
      <w:r w:rsidR="0033739D" w:rsidRPr="007D1BC1">
        <w:t>.2, à une nouvelle analyse des offres et à l’ajustement du classement initial</w:t>
      </w:r>
      <w:r w:rsidR="00A1269F" w:rsidRPr="007D1BC1">
        <w:t>, qui déterminera l’attributaire pressenti</w:t>
      </w:r>
      <w:r w:rsidR="0033739D" w:rsidRPr="007D1BC1">
        <w:t xml:space="preserve">. </w:t>
      </w:r>
    </w:p>
    <w:p w14:paraId="61BD87A4" w14:textId="5EA6A144" w:rsidR="0033739D" w:rsidRPr="007D1BC1" w:rsidRDefault="0033739D" w:rsidP="0033739D">
      <w:pPr>
        <w:pStyle w:val="Titre2"/>
      </w:pPr>
      <w:r w:rsidRPr="007D1BC1">
        <w:t xml:space="preserve">Article </w:t>
      </w:r>
      <w:r w:rsidR="00BF08C0" w:rsidRPr="007D1BC1">
        <w:t>7</w:t>
      </w:r>
      <w:r w:rsidRPr="007D1BC1">
        <w:t xml:space="preserve"> – ATTRIBUTION </w:t>
      </w:r>
      <w:r w:rsidR="00AA0E53" w:rsidRPr="007D1BC1">
        <w:t>DU MARCHÉ</w:t>
      </w:r>
    </w:p>
    <w:p w14:paraId="0FCA9DE8" w14:textId="2C54A91D" w:rsidR="0033739D" w:rsidRPr="007D1BC1" w:rsidRDefault="00A1269F" w:rsidP="0033739D">
      <w:pPr>
        <w:jc w:val="both"/>
      </w:pPr>
      <w:r w:rsidRPr="007D1BC1">
        <w:t xml:space="preserve">Le </w:t>
      </w:r>
      <w:r w:rsidR="0033739D" w:rsidRPr="007D1BC1">
        <w:t xml:space="preserve">soumissionnaire auquel il est envisagé d’attribuer </w:t>
      </w:r>
      <w:r w:rsidR="00AA0E53" w:rsidRPr="007D1BC1">
        <w:t>le marché</w:t>
      </w:r>
      <w:r w:rsidR="0033739D" w:rsidRPr="007D1BC1">
        <w:t xml:space="preserve"> transmet </w:t>
      </w:r>
      <w:r w:rsidRPr="007D1BC1">
        <w:t xml:space="preserve">dans les </w:t>
      </w:r>
      <w:r w:rsidRPr="00395F6A">
        <w:rPr>
          <w:shd w:val="clear" w:color="auto" w:fill="95B3D7" w:themeFill="accent1" w:themeFillTint="99"/>
        </w:rPr>
        <w:t>XX</w:t>
      </w:r>
      <w:r w:rsidRPr="007D1BC1">
        <w:t xml:space="preserve"> jours suivant la demande de l’acheteur, </w:t>
      </w:r>
      <w:r w:rsidR="0033739D" w:rsidRPr="007D1BC1">
        <w:t xml:space="preserve">les justificatifs </w:t>
      </w:r>
      <w:r w:rsidRPr="007D1BC1">
        <w:t xml:space="preserve">suivants, </w:t>
      </w:r>
      <w:r w:rsidR="0033739D" w:rsidRPr="007D1BC1">
        <w:t>exigés pour l’accès à la commande publique</w:t>
      </w:r>
      <w:r w:rsidRPr="007D1BC1">
        <w:t> :</w:t>
      </w:r>
      <w:r w:rsidR="0033739D" w:rsidRPr="007D1BC1">
        <w:t xml:space="preserve"> </w:t>
      </w:r>
    </w:p>
    <w:p w14:paraId="2869291F" w14:textId="1D587DED" w:rsidR="0033739D" w:rsidRPr="007D1BC1" w:rsidRDefault="00A1269F" w:rsidP="008938B3">
      <w:pPr>
        <w:numPr>
          <w:ilvl w:val="0"/>
          <w:numId w:val="1"/>
        </w:numPr>
        <w:jc w:val="both"/>
      </w:pPr>
      <w:bookmarkStart w:id="17" w:name="_Hlk36558380"/>
      <w:r w:rsidRPr="007D1BC1">
        <w:t>e</w:t>
      </w:r>
      <w:r w:rsidR="0033739D" w:rsidRPr="007D1BC1">
        <w:t>n application de l’article L. 2141-2 du CCP, les attestations de régularité fiscale et sociale du candidat et de chaque membre en cas de groupement, dans les conditions définies à l’annexe 4 du CCP ;</w:t>
      </w:r>
    </w:p>
    <w:p w14:paraId="655B526A" w14:textId="174166AC" w:rsidR="0033739D" w:rsidRPr="007D1BC1" w:rsidRDefault="0033739D" w:rsidP="008938B3">
      <w:pPr>
        <w:numPr>
          <w:ilvl w:val="0"/>
          <w:numId w:val="1"/>
        </w:numPr>
        <w:jc w:val="both"/>
      </w:pPr>
      <w:r w:rsidRPr="007D1BC1">
        <w:t>l’un des documents visés par l’article D. 8222-5 du Code du travail (carte d’identification au répertoire des métiers, devis, récépissé du dépôt de déclaration au CFE)</w:t>
      </w:r>
    </w:p>
    <w:p w14:paraId="663E9054" w14:textId="0AE93999" w:rsidR="0033739D" w:rsidRPr="007D1BC1" w:rsidRDefault="0033739D" w:rsidP="008938B3">
      <w:pPr>
        <w:numPr>
          <w:ilvl w:val="0"/>
          <w:numId w:val="1"/>
        </w:numPr>
        <w:jc w:val="both"/>
      </w:pPr>
      <w:r w:rsidRPr="007D1BC1">
        <w:t>une attestation sur l’honneur relative à la régularité des obligations d’emplois au regard des articles L. 1221-10, L. 3243-2 er R. 3243-1 du Code du travail</w:t>
      </w:r>
      <w:bookmarkEnd w:id="17"/>
      <w:r w:rsidR="00A1269F" w:rsidRPr="007D1BC1">
        <w:t xml:space="preserve">. </w:t>
      </w:r>
    </w:p>
    <w:p w14:paraId="4EE8926B" w14:textId="3B4CEA5E" w:rsidR="003C0993" w:rsidRPr="007D1BC1" w:rsidRDefault="00A1269F" w:rsidP="00A1269F">
      <w:pPr>
        <w:jc w:val="both"/>
      </w:pPr>
      <w:r w:rsidRPr="007D1BC1">
        <w:t xml:space="preserve">A défaut de produire ces documents dans le délai imparti, l’offre du soumissionnaire attributaire sera rejetée et il sera éliminé. Le soumissionnaire suivant sera alors sollicité pour produire les certificats et attestations nécessaires avant que </w:t>
      </w:r>
      <w:r w:rsidR="004D3EF2">
        <w:t>le marché</w:t>
      </w:r>
      <w:r w:rsidRPr="007D1BC1">
        <w:t xml:space="preserve"> ne lui soit attribué.</w:t>
      </w:r>
      <w:bookmarkEnd w:id="1"/>
      <w:bookmarkEnd w:id="2"/>
    </w:p>
    <w:p w14:paraId="751076A4" w14:textId="54B68A69" w:rsidR="00AA0E53" w:rsidRPr="007D1BC1" w:rsidRDefault="00AA0E53" w:rsidP="00AA0E53">
      <w:pPr>
        <w:pStyle w:val="Titre2"/>
      </w:pPr>
      <w:bookmarkStart w:id="18" w:name="_Toc61606015"/>
      <w:bookmarkStart w:id="19" w:name="_Toc58947214"/>
      <w:bookmarkStart w:id="20" w:name="_Toc61455002"/>
      <w:r w:rsidRPr="007D1BC1">
        <w:t>Article 8 – Protection des donnÉes personnelles</w:t>
      </w:r>
      <w:bookmarkEnd w:id="18"/>
      <w:r w:rsidRPr="007D1BC1">
        <w:t xml:space="preserve"> </w:t>
      </w:r>
    </w:p>
    <w:bookmarkEnd w:id="19"/>
    <w:bookmarkEnd w:id="20"/>
    <w:p w14:paraId="13A4560F" w14:textId="197E461A" w:rsidR="00AA0E53" w:rsidRPr="007D1BC1" w:rsidRDefault="00AA0E53" w:rsidP="00AA0E53">
      <w:r w:rsidRPr="007D1BC1">
        <w:t>Les traitements de données personnelles réalisés par l’acheteur lors de cette consultation sont réalisés conformément à la loi n° 78-17 du 6 janvier 1978 relative à l'informatique, aux fichiers et aux libertés, ainsi qu’au règlement (UE) 2016/679 du Parlement européen et du Conseil du 27 avril 2016, relatif à la protection des personnes physiques à l'égard du traitement des données à caractère personnel et à la libre circulation de ces données (dit RGPD)</w:t>
      </w:r>
      <w:r w:rsidR="00DD2D26">
        <w:t>.</w:t>
      </w:r>
      <w:r w:rsidRPr="007D1BC1">
        <w:t xml:space="preserve"> Ils ont pour finalité d’assurer le bon déroulement </w:t>
      </w:r>
      <w:r w:rsidR="00DD2D26">
        <w:t>de la consultation</w:t>
      </w:r>
      <w:r w:rsidRPr="007D1BC1">
        <w:t xml:space="preserve">, de permettre à l’acheteur de procéder à l’analyse des candidatures </w:t>
      </w:r>
      <w:r w:rsidR="00DD2D26">
        <w:t xml:space="preserve">et des offres </w:t>
      </w:r>
      <w:r w:rsidRPr="007D1BC1">
        <w:t xml:space="preserve">et de communiquer avec les candidats. </w:t>
      </w:r>
    </w:p>
    <w:p w14:paraId="14685F3C" w14:textId="4E2BB790" w:rsidR="00AA0E53" w:rsidRPr="007D1BC1" w:rsidRDefault="00AA0E53" w:rsidP="00AA0E53">
      <w:r w:rsidRPr="007D1BC1">
        <w:t xml:space="preserve">Les destinataires des données à caractère personnel sont exclusivement les personnes chargées de suivre l’exécution de la procédure. </w:t>
      </w:r>
      <w:r w:rsidR="005D4F1E" w:rsidRPr="007D1BC1">
        <w:t xml:space="preserve">En aucun cas, l’acheteur ne peut communiquer ces données à des tiers.  </w:t>
      </w:r>
    </w:p>
    <w:p w14:paraId="031A3361" w14:textId="5C512C9B" w:rsidR="00AA0E53" w:rsidRPr="007D1BC1" w:rsidRDefault="00AA0E53" w:rsidP="00AA0E53">
      <w:r w:rsidRPr="007D1BC1">
        <w:t xml:space="preserve">Les données collectées lors du dépôt des </w:t>
      </w:r>
      <w:r w:rsidR="00DD2D26">
        <w:t>plis</w:t>
      </w:r>
      <w:r w:rsidRPr="007D1BC1">
        <w:t xml:space="preserve"> seront conservées pendant une période minimale de 5 ans à compter de la date de signature du marché</w:t>
      </w:r>
      <w:r w:rsidR="005D4F1E" w:rsidRPr="007D1BC1">
        <w:t xml:space="preserve">. </w:t>
      </w:r>
    </w:p>
    <w:p w14:paraId="1F31B4A8" w14:textId="77777777" w:rsidR="00AA0E53" w:rsidRPr="007D1BC1" w:rsidRDefault="00AA0E53" w:rsidP="00AA0E53">
      <w:r w:rsidRPr="007D1BC1">
        <w:t xml:space="preserve">La personne concernée par un traitement de données à caractère personnel dispose à tout moment d’un droit d’accès à ses données, d’un droit de rectification de ses données en les mettant à jour ou en les faisant rectifier, d’un droit à la limitation du traitement en sollicitant sa suspension, d’un droit d’opposition au traitement de ses données à caractère personnel, d’un droit à l’effacement en sollicitant la suppression des données à caractère personnel le concernant et d’un droit à la portabilité en récupérant ses données à caractère personnel afin d’en disposer. La demande relative à l’exercice de ces droits s’effectue par courrier auprès </w:t>
      </w:r>
    </w:p>
    <w:p w14:paraId="50EC4F26" w14:textId="3D7B1996" w:rsidR="00AA0E53" w:rsidRPr="007D1BC1" w:rsidRDefault="00AA0E53" w:rsidP="00AA0E53">
      <w:pPr>
        <w:ind w:left="708"/>
        <w:rPr>
          <w:szCs w:val="19"/>
        </w:rPr>
      </w:pPr>
      <w:r w:rsidRPr="007D1BC1">
        <w:rPr>
          <w:szCs w:val="18"/>
          <w:shd w:val="clear" w:color="auto" w:fill="95B3D7"/>
        </w:rPr>
        <w:sym w:font="Wingdings" w:char="F071"/>
      </w:r>
      <w:r w:rsidRPr="007D1BC1">
        <w:rPr>
          <w:szCs w:val="19"/>
        </w:rPr>
        <w:t xml:space="preserve"> du délégué à la protection des données personnelles (DPO) désigné par l’acheteur </w:t>
      </w:r>
      <w:r w:rsidRPr="007D1BC1">
        <w:rPr>
          <w:szCs w:val="19"/>
          <w:shd w:val="clear" w:color="auto" w:fill="95B3D7"/>
        </w:rPr>
        <w:t>[Identifier le DPO et l’adresse mail],</w:t>
      </w:r>
      <w:r w:rsidRPr="007D1BC1">
        <w:rPr>
          <w:szCs w:val="19"/>
        </w:rPr>
        <w:t xml:space="preserve"> </w:t>
      </w:r>
    </w:p>
    <w:p w14:paraId="14A5458A" w14:textId="77777777" w:rsidR="00AA0E53" w:rsidRPr="007D1BC1" w:rsidRDefault="00AA0E53" w:rsidP="00AA0E53">
      <w:pPr>
        <w:ind w:left="708"/>
        <w:rPr>
          <w:szCs w:val="19"/>
        </w:rPr>
      </w:pPr>
      <w:r w:rsidRPr="007D1BC1">
        <w:rPr>
          <w:szCs w:val="18"/>
          <w:shd w:val="clear" w:color="auto" w:fill="95B3D7"/>
        </w:rPr>
        <w:sym w:font="Wingdings" w:char="F071"/>
      </w:r>
      <w:r w:rsidRPr="007D1BC1">
        <w:rPr>
          <w:szCs w:val="19"/>
        </w:rPr>
        <w:t xml:space="preserve"> de </w:t>
      </w:r>
      <w:r w:rsidRPr="007D1BC1">
        <w:rPr>
          <w:szCs w:val="19"/>
          <w:shd w:val="clear" w:color="auto" w:fill="95B3D7"/>
        </w:rPr>
        <w:t>[Identifier l’identité de la personne ressource et l’adresse mail],</w:t>
      </w:r>
      <w:r w:rsidRPr="007D1BC1">
        <w:rPr>
          <w:szCs w:val="19"/>
        </w:rPr>
        <w:t xml:space="preserve"> </w:t>
      </w:r>
    </w:p>
    <w:p w14:paraId="236985B8" w14:textId="77777777" w:rsidR="00AA0E53" w:rsidRPr="007D1BC1" w:rsidRDefault="00AA0E53" w:rsidP="00AA0E53">
      <w:pPr>
        <w:rPr>
          <w:szCs w:val="19"/>
        </w:rPr>
      </w:pPr>
      <w:r w:rsidRPr="007D1BC1">
        <w:rPr>
          <w:szCs w:val="18"/>
          <w:shd w:val="clear" w:color="auto" w:fill="95B3D7"/>
        </w:rPr>
        <w:lastRenderedPageBreak/>
        <w:sym w:font="Wingdings" w:char="F071"/>
      </w:r>
      <w:r w:rsidRPr="007D1BC1">
        <w:rPr>
          <w:szCs w:val="18"/>
          <w:shd w:val="clear" w:color="auto" w:fill="FFFFFF"/>
        </w:rPr>
        <w:t xml:space="preserve"> </w:t>
      </w:r>
      <w:r w:rsidRPr="007D1BC1">
        <w:rPr>
          <w:szCs w:val="19"/>
        </w:rPr>
        <w:t xml:space="preserve">Les candidats peuvent consulter la politique de confidentialité et de protections des données personnelles de l’acheteur à l’adresse suivante : </w:t>
      </w:r>
      <w:r w:rsidRPr="007D1BC1">
        <w:rPr>
          <w:szCs w:val="19"/>
          <w:shd w:val="clear" w:color="auto" w:fill="95B3D7"/>
        </w:rPr>
        <w:t>[Identifier l’URL où le document est accessible],</w:t>
      </w:r>
    </w:p>
    <w:p w14:paraId="223B9B5E" w14:textId="798C224E" w:rsidR="00AA0E53" w:rsidRPr="007D1BC1" w:rsidRDefault="00AA0E53" w:rsidP="00AA0E53">
      <w:pPr>
        <w:pStyle w:val="Titre2"/>
      </w:pPr>
      <w:bookmarkStart w:id="21" w:name="_Toc61606016"/>
      <w:bookmarkStart w:id="22" w:name="_Toc58947215"/>
      <w:bookmarkStart w:id="23" w:name="_Toc61455003"/>
      <w:r w:rsidRPr="007D1BC1">
        <w:t xml:space="preserve">Article </w:t>
      </w:r>
      <w:r w:rsidR="005D4F1E" w:rsidRPr="007D1BC1">
        <w:t>9</w:t>
      </w:r>
      <w:r w:rsidRPr="007D1BC1">
        <w:t xml:space="preserve"> – Recours</w:t>
      </w:r>
      <w:bookmarkEnd w:id="21"/>
      <w:r w:rsidRPr="007D1BC1">
        <w:t xml:space="preserve"> </w:t>
      </w:r>
    </w:p>
    <w:bookmarkEnd w:id="22"/>
    <w:bookmarkEnd w:id="23"/>
    <w:p w14:paraId="63C42F7A" w14:textId="77777777" w:rsidR="00AA0E53" w:rsidRPr="007D1BC1" w:rsidRDefault="00AA0E53" w:rsidP="00AA0E53">
      <w:pPr>
        <w:numPr>
          <w:ilvl w:val="0"/>
          <w:numId w:val="11"/>
        </w:numPr>
        <w:contextualSpacing/>
        <w:rPr>
          <w:rFonts w:cs="Times New Roman"/>
          <w:szCs w:val="20"/>
          <w:lang w:eastAsia="fr-FR"/>
        </w:rPr>
      </w:pPr>
      <w:r w:rsidRPr="007D1BC1">
        <w:rPr>
          <w:rFonts w:cs="Times New Roman"/>
          <w:szCs w:val="20"/>
          <w:lang w:eastAsia="fr-FR"/>
        </w:rPr>
        <w:t xml:space="preserve">Le tribunal territorialement compétent est : </w:t>
      </w:r>
    </w:p>
    <w:p w14:paraId="785E3C59" w14:textId="77777777" w:rsidR="00AA0E53" w:rsidRPr="007D1BC1" w:rsidRDefault="00AA0E53" w:rsidP="00AA0E53">
      <w:r w:rsidRPr="007D1BC1">
        <w:tab/>
      </w:r>
      <w:r w:rsidRPr="007D1BC1">
        <w:tab/>
        <w:t xml:space="preserve">Tribunal administratif de </w:t>
      </w:r>
      <w:r w:rsidRPr="007D1BC1">
        <w:rPr>
          <w:shd w:val="clear" w:color="auto" w:fill="B4C6E7"/>
        </w:rPr>
        <w:t>XXXXX</w:t>
      </w:r>
    </w:p>
    <w:p w14:paraId="523E2B26" w14:textId="77777777" w:rsidR="00AA0E53" w:rsidRPr="007D1BC1" w:rsidRDefault="00AA0E53" w:rsidP="00AA0E53">
      <w:pPr>
        <w:shd w:val="clear" w:color="auto" w:fill="FFFFFF"/>
      </w:pPr>
      <w:r w:rsidRPr="007D1BC1">
        <w:rPr>
          <w:shd w:val="clear" w:color="auto" w:fill="FFFFFF"/>
        </w:rPr>
        <w:tab/>
      </w:r>
      <w:r w:rsidRPr="007D1BC1">
        <w:rPr>
          <w:shd w:val="clear" w:color="auto" w:fill="FFFFFF"/>
        </w:rPr>
        <w:tab/>
      </w:r>
      <w:r w:rsidRPr="007D1BC1">
        <w:rPr>
          <w:shd w:val="clear" w:color="auto" w:fill="95B3D7"/>
        </w:rPr>
        <w:t>Coordonnées postales, téléphoniques, télécopie et courriel</w:t>
      </w:r>
    </w:p>
    <w:p w14:paraId="360A44B8" w14:textId="77777777" w:rsidR="00AA0E53" w:rsidRPr="007D1BC1" w:rsidRDefault="00AA0E53" w:rsidP="00AA0E53">
      <w:pPr>
        <w:numPr>
          <w:ilvl w:val="0"/>
          <w:numId w:val="12"/>
        </w:numPr>
        <w:contextualSpacing/>
        <w:rPr>
          <w:rFonts w:cs="Times New Roman"/>
          <w:szCs w:val="20"/>
          <w:lang w:eastAsia="fr-FR"/>
        </w:rPr>
      </w:pPr>
      <w:r w:rsidRPr="007D1BC1">
        <w:rPr>
          <w:rFonts w:cs="Times New Roman"/>
          <w:szCs w:val="20"/>
          <w:lang w:eastAsia="fr-FR"/>
        </w:rPr>
        <w:t xml:space="preserve">Pour obtenir des renseignements relatifs à l'introduction des recours, les candidats devront s'adresser à : </w:t>
      </w:r>
    </w:p>
    <w:p w14:paraId="42FB209C" w14:textId="77777777" w:rsidR="00AA0E53" w:rsidRPr="007D1BC1" w:rsidRDefault="00AA0E53" w:rsidP="00AA0E53">
      <w:pPr>
        <w:ind w:left="720"/>
        <w:contextualSpacing/>
        <w:rPr>
          <w:rFonts w:cs="Times New Roman"/>
          <w:szCs w:val="20"/>
          <w:lang w:eastAsia="fr-FR"/>
        </w:rPr>
      </w:pPr>
      <w:r w:rsidRPr="007D1BC1">
        <w:rPr>
          <w:rFonts w:cs="Times New Roman"/>
          <w:szCs w:val="20"/>
          <w:lang w:eastAsia="fr-FR"/>
        </w:rPr>
        <w:tab/>
        <w:t xml:space="preserve">Greffe du Tribunal administratif de </w:t>
      </w:r>
      <w:r w:rsidRPr="007D1BC1">
        <w:rPr>
          <w:rFonts w:cs="Times New Roman"/>
          <w:szCs w:val="20"/>
          <w:shd w:val="clear" w:color="auto" w:fill="B4C6E7"/>
          <w:lang w:eastAsia="fr-FR"/>
        </w:rPr>
        <w:t>XXXX</w:t>
      </w:r>
    </w:p>
    <w:p w14:paraId="371ECB60" w14:textId="77777777" w:rsidR="00AA0E53" w:rsidRPr="007D1BC1" w:rsidRDefault="00AA0E53" w:rsidP="00AA0E53">
      <w:pPr>
        <w:rPr>
          <w:shd w:val="clear" w:color="auto" w:fill="95B3D7"/>
        </w:rPr>
      </w:pPr>
      <w:r w:rsidRPr="007D1BC1">
        <w:rPr>
          <w:shd w:val="clear" w:color="auto" w:fill="FFFFFF"/>
        </w:rPr>
        <w:tab/>
      </w:r>
      <w:r w:rsidRPr="007D1BC1">
        <w:rPr>
          <w:shd w:val="clear" w:color="auto" w:fill="FFFFFF"/>
        </w:rPr>
        <w:tab/>
      </w:r>
      <w:r w:rsidRPr="007D1BC1">
        <w:rPr>
          <w:shd w:val="clear" w:color="auto" w:fill="95B3D7"/>
        </w:rPr>
        <w:t>Coordonnées postales, téléphoniques, télécopie et courriel</w:t>
      </w:r>
    </w:p>
    <w:p w14:paraId="051E4382" w14:textId="77777777" w:rsidR="00AA0E53" w:rsidRPr="007D1BC1" w:rsidRDefault="00AA0E53" w:rsidP="00A1269F">
      <w:pPr>
        <w:jc w:val="both"/>
      </w:pPr>
    </w:p>
    <w:sectPr w:rsidR="00AA0E53" w:rsidRPr="007D1BC1" w:rsidSect="00681D01">
      <w:footerReference w:type="default" r:id="rId8"/>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EB6E" w14:textId="77777777" w:rsidR="00AA2FA0" w:rsidRDefault="00AA2FA0" w:rsidP="00724EF6">
      <w:pPr>
        <w:spacing w:after="0" w:line="240" w:lineRule="auto"/>
      </w:pPr>
      <w:r>
        <w:separator/>
      </w:r>
    </w:p>
  </w:endnote>
  <w:endnote w:type="continuationSeparator" w:id="0">
    <w:p w14:paraId="6ADA1A93" w14:textId="77777777" w:rsidR="00AA2FA0" w:rsidRDefault="00AA2FA0" w:rsidP="00724EF6">
      <w:pPr>
        <w:spacing w:after="0" w:line="240" w:lineRule="auto"/>
      </w:pPr>
      <w:r>
        <w:continuationSeparator/>
      </w:r>
    </w:p>
  </w:endnote>
  <w:endnote w:type="continuationNotice" w:id="1">
    <w:p w14:paraId="7AC53C23" w14:textId="77777777" w:rsidR="00AA2FA0" w:rsidRDefault="00AA2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Content>
      <w:p w14:paraId="4A523059" w14:textId="210BA9ED" w:rsidR="009C504E" w:rsidRDefault="009C504E">
        <w:pPr>
          <w:pStyle w:val="Pieddepage"/>
          <w:jc w:val="right"/>
        </w:pPr>
        <w:r>
          <w:fldChar w:fldCharType="begin"/>
        </w:r>
        <w:r>
          <w:instrText>PAGE   \* MERGEFORMAT</w:instrText>
        </w:r>
        <w:r>
          <w:fldChar w:fldCharType="separate"/>
        </w:r>
        <w:r>
          <w:rPr>
            <w:noProof/>
          </w:rPr>
          <w:t>1</w:t>
        </w:r>
        <w:r>
          <w:fldChar w:fldCharType="end"/>
        </w:r>
      </w:p>
    </w:sdtContent>
  </w:sdt>
  <w:p w14:paraId="7D89DA8C" w14:textId="1F0E4D7C" w:rsidR="009C504E" w:rsidRPr="00600D55" w:rsidRDefault="00A17AAF" w:rsidP="00A17AAF">
    <w:pPr>
      <w:pStyle w:val="Pieddepage"/>
      <w:rPr>
        <w:sz w:val="16"/>
        <w:szCs w:val="16"/>
      </w:rPr>
    </w:pPr>
    <w:r w:rsidRPr="00600D55">
      <w:rPr>
        <w:sz w:val="16"/>
        <w:szCs w:val="16"/>
      </w:rPr>
      <w:t xml:space="preserve">Modèle </w:t>
    </w:r>
    <w:r w:rsidR="005D4F1E" w:rsidRPr="00600D55">
      <w:rPr>
        <w:sz w:val="16"/>
        <w:szCs w:val="16"/>
      </w:rPr>
      <w:t>de marché</w:t>
    </w:r>
    <w:r w:rsidRPr="00600D55">
      <w:rPr>
        <w:sz w:val="16"/>
        <w:szCs w:val="16"/>
      </w:rPr>
      <w:t xml:space="preserve"> – </w:t>
    </w:r>
    <w:r w:rsidR="005D4F1E" w:rsidRPr="00600D55">
      <w:rPr>
        <w:color w:val="FF5959"/>
        <w:sz w:val="16"/>
        <w:szCs w:val="16"/>
      </w:rPr>
      <w:t>Elaboration d’un plan-guide</w:t>
    </w:r>
    <w:r w:rsidRPr="00600D55">
      <w:rPr>
        <w:color w:val="FF5959"/>
        <w:sz w:val="16"/>
        <w:szCs w:val="16"/>
      </w:rPr>
      <w:t xml:space="preserve"> </w:t>
    </w:r>
    <w:r w:rsidR="002170B5">
      <w:rPr>
        <w:color w:val="FF5959"/>
        <w:sz w:val="16"/>
        <w:szCs w:val="16"/>
      </w:rPr>
      <w:t xml:space="preserve">communal </w:t>
    </w:r>
    <w:r w:rsidRPr="00600D55">
      <w:rPr>
        <w:sz w:val="16"/>
        <w:szCs w:val="16"/>
      </w:rPr>
      <w:t xml:space="preserve">– RC </w:t>
    </w:r>
    <w:r w:rsidR="004D3EF2">
      <w:rPr>
        <w:sz w:val="16"/>
        <w:szCs w:val="16"/>
      </w:rPr>
      <w:t>–</w:t>
    </w:r>
    <w:r w:rsidRPr="00600D55">
      <w:rPr>
        <w:sz w:val="16"/>
        <w:szCs w:val="16"/>
      </w:rPr>
      <w:t xml:space="preserve"> </w:t>
    </w:r>
    <w:r w:rsidR="00E8082B">
      <w:rPr>
        <w:sz w:val="16"/>
        <w:szCs w:val="16"/>
      </w:rPr>
      <w:t>Version</w:t>
    </w:r>
    <w:r w:rsidR="002170B5">
      <w:rPr>
        <w:sz w:val="16"/>
        <w:szCs w:val="16"/>
      </w:rPr>
      <w:t xml:space="preserve"> </w:t>
    </w:r>
    <w:r w:rsidR="00285F59">
      <w:rPr>
        <w:sz w:val="16"/>
        <w:szCs w:val="16"/>
      </w:rPr>
      <w:t xml:space="preserve">novembre </w:t>
    </w:r>
    <w:r w:rsidR="005D4F1E" w:rsidRPr="00600D55">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B9BB" w14:textId="77777777" w:rsidR="00AA2FA0" w:rsidRDefault="00AA2FA0" w:rsidP="00724EF6">
      <w:pPr>
        <w:spacing w:after="0" w:line="240" w:lineRule="auto"/>
      </w:pPr>
      <w:r>
        <w:separator/>
      </w:r>
    </w:p>
  </w:footnote>
  <w:footnote w:type="continuationSeparator" w:id="0">
    <w:p w14:paraId="004E70BD" w14:textId="77777777" w:rsidR="00AA2FA0" w:rsidRDefault="00AA2FA0" w:rsidP="00724EF6">
      <w:pPr>
        <w:spacing w:after="0" w:line="240" w:lineRule="auto"/>
      </w:pPr>
      <w:r>
        <w:continuationSeparator/>
      </w:r>
    </w:p>
  </w:footnote>
  <w:footnote w:type="continuationNotice" w:id="1">
    <w:p w14:paraId="4396ABBF" w14:textId="77777777" w:rsidR="00AA2FA0" w:rsidRDefault="00AA2F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167763E"/>
    <w:multiLevelType w:val="hybridMultilevel"/>
    <w:tmpl w:val="E15AC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2E77BF"/>
    <w:multiLevelType w:val="hybridMultilevel"/>
    <w:tmpl w:val="A8D22534"/>
    <w:lvl w:ilvl="0" w:tplc="E9B8F53C">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41E1C"/>
    <w:multiLevelType w:val="hybridMultilevel"/>
    <w:tmpl w:val="7D500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56ACF"/>
    <w:multiLevelType w:val="hybridMultilevel"/>
    <w:tmpl w:val="BC92C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D66A9F"/>
    <w:multiLevelType w:val="hybridMultilevel"/>
    <w:tmpl w:val="7A14F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8F2C44"/>
    <w:multiLevelType w:val="hybridMultilevel"/>
    <w:tmpl w:val="E6AAB9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7756AF"/>
    <w:multiLevelType w:val="hybridMultilevel"/>
    <w:tmpl w:val="8982C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F74B05"/>
    <w:multiLevelType w:val="hybridMultilevel"/>
    <w:tmpl w:val="713C7874"/>
    <w:lvl w:ilvl="0" w:tplc="3FEEFB96">
      <w:start w:val="3"/>
      <w:numFmt w:val="bullet"/>
      <w:lvlText w:val="-"/>
      <w:lvlJc w:val="left"/>
      <w:pPr>
        <w:ind w:left="1800" w:hanging="360"/>
      </w:pPr>
      <w:rPr>
        <w:rFonts w:ascii="Verdana" w:eastAsiaTheme="minorHAnsi" w:hAnsi="Verdana" w:cstheme="minorBidi"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66312154"/>
    <w:multiLevelType w:val="hybridMultilevel"/>
    <w:tmpl w:val="B5A2A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AB0A2E"/>
    <w:multiLevelType w:val="hybridMultilevel"/>
    <w:tmpl w:val="D5F81D72"/>
    <w:lvl w:ilvl="0" w:tplc="1B70F1E0">
      <w:start w:val="4"/>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F4450F"/>
    <w:multiLevelType w:val="hybridMultilevel"/>
    <w:tmpl w:val="96A6C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6C7E39"/>
    <w:multiLevelType w:val="hybridMultilevel"/>
    <w:tmpl w:val="6F348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D15C09"/>
    <w:multiLevelType w:val="hybridMultilevel"/>
    <w:tmpl w:val="C61CA0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3112811">
    <w:abstractNumId w:val="2"/>
  </w:num>
  <w:num w:numId="2" w16cid:durableId="9575616">
    <w:abstractNumId w:val="3"/>
  </w:num>
  <w:num w:numId="3" w16cid:durableId="23528492">
    <w:abstractNumId w:val="6"/>
  </w:num>
  <w:num w:numId="4" w16cid:durableId="1088573236">
    <w:abstractNumId w:val="4"/>
  </w:num>
  <w:num w:numId="5" w16cid:durableId="1654866164">
    <w:abstractNumId w:val="7"/>
  </w:num>
  <w:num w:numId="6" w16cid:durableId="482742730">
    <w:abstractNumId w:val="10"/>
  </w:num>
  <w:num w:numId="7" w16cid:durableId="1849758115">
    <w:abstractNumId w:val="13"/>
  </w:num>
  <w:num w:numId="8" w16cid:durableId="1812747165">
    <w:abstractNumId w:val="12"/>
  </w:num>
  <w:num w:numId="9" w16cid:durableId="695496817">
    <w:abstractNumId w:val="14"/>
  </w:num>
  <w:num w:numId="10" w16cid:durableId="2143576714">
    <w:abstractNumId w:val="11"/>
  </w:num>
  <w:num w:numId="11" w16cid:durableId="670790641">
    <w:abstractNumId w:val="8"/>
  </w:num>
  <w:num w:numId="12" w16cid:durableId="992640906">
    <w:abstractNumId w:val="5"/>
  </w:num>
  <w:num w:numId="13" w16cid:durableId="17335083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49D0"/>
    <w:rsid w:val="0000576F"/>
    <w:rsid w:val="00006731"/>
    <w:rsid w:val="00006D59"/>
    <w:rsid w:val="00007319"/>
    <w:rsid w:val="000128DA"/>
    <w:rsid w:val="00012A79"/>
    <w:rsid w:val="0001413D"/>
    <w:rsid w:val="00016ED8"/>
    <w:rsid w:val="00021313"/>
    <w:rsid w:val="00021438"/>
    <w:rsid w:val="000214CC"/>
    <w:rsid w:val="00021A0E"/>
    <w:rsid w:val="00023558"/>
    <w:rsid w:val="000249E4"/>
    <w:rsid w:val="00026AA3"/>
    <w:rsid w:val="0002799A"/>
    <w:rsid w:val="00030D34"/>
    <w:rsid w:val="0003122E"/>
    <w:rsid w:val="00034748"/>
    <w:rsid w:val="00035A68"/>
    <w:rsid w:val="00035CAC"/>
    <w:rsid w:val="00035D62"/>
    <w:rsid w:val="0003603C"/>
    <w:rsid w:val="00036726"/>
    <w:rsid w:val="000379A3"/>
    <w:rsid w:val="00042153"/>
    <w:rsid w:val="00047C68"/>
    <w:rsid w:val="00052E88"/>
    <w:rsid w:val="0005318C"/>
    <w:rsid w:val="00053C41"/>
    <w:rsid w:val="0005514C"/>
    <w:rsid w:val="0005578F"/>
    <w:rsid w:val="00055A71"/>
    <w:rsid w:val="00056457"/>
    <w:rsid w:val="00056769"/>
    <w:rsid w:val="000568BA"/>
    <w:rsid w:val="00060810"/>
    <w:rsid w:val="0006142F"/>
    <w:rsid w:val="00062EAA"/>
    <w:rsid w:val="00064973"/>
    <w:rsid w:val="00074054"/>
    <w:rsid w:val="00074401"/>
    <w:rsid w:val="00075B69"/>
    <w:rsid w:val="00076D6E"/>
    <w:rsid w:val="00080636"/>
    <w:rsid w:val="0008376B"/>
    <w:rsid w:val="000862B2"/>
    <w:rsid w:val="00086D61"/>
    <w:rsid w:val="00087EFE"/>
    <w:rsid w:val="00090892"/>
    <w:rsid w:val="00091373"/>
    <w:rsid w:val="00092A2C"/>
    <w:rsid w:val="00092B14"/>
    <w:rsid w:val="00093FAE"/>
    <w:rsid w:val="00095F1B"/>
    <w:rsid w:val="00096BCC"/>
    <w:rsid w:val="000979BE"/>
    <w:rsid w:val="00097CD0"/>
    <w:rsid w:val="00097E4E"/>
    <w:rsid w:val="000A1FF0"/>
    <w:rsid w:val="000A30FA"/>
    <w:rsid w:val="000A73B9"/>
    <w:rsid w:val="000A7604"/>
    <w:rsid w:val="000A7C9C"/>
    <w:rsid w:val="000B1852"/>
    <w:rsid w:val="000B2BCB"/>
    <w:rsid w:val="000B2CEE"/>
    <w:rsid w:val="000B408E"/>
    <w:rsid w:val="000B4712"/>
    <w:rsid w:val="000B595C"/>
    <w:rsid w:val="000B73E8"/>
    <w:rsid w:val="000C04E5"/>
    <w:rsid w:val="000C0FC6"/>
    <w:rsid w:val="000C1BC8"/>
    <w:rsid w:val="000C272B"/>
    <w:rsid w:val="000C3084"/>
    <w:rsid w:val="000D4382"/>
    <w:rsid w:val="000D442E"/>
    <w:rsid w:val="000D4742"/>
    <w:rsid w:val="000D47D1"/>
    <w:rsid w:val="000D5A6C"/>
    <w:rsid w:val="000D5F62"/>
    <w:rsid w:val="000D7E47"/>
    <w:rsid w:val="000E4CB8"/>
    <w:rsid w:val="000E574C"/>
    <w:rsid w:val="000E646C"/>
    <w:rsid w:val="000E755A"/>
    <w:rsid w:val="000F1CB1"/>
    <w:rsid w:val="000F3CF0"/>
    <w:rsid w:val="000F4FBF"/>
    <w:rsid w:val="000F6641"/>
    <w:rsid w:val="000F7316"/>
    <w:rsid w:val="000F7AC6"/>
    <w:rsid w:val="000F7BC7"/>
    <w:rsid w:val="00101BD6"/>
    <w:rsid w:val="00111269"/>
    <w:rsid w:val="00111A90"/>
    <w:rsid w:val="00116D43"/>
    <w:rsid w:val="00125109"/>
    <w:rsid w:val="00125644"/>
    <w:rsid w:val="00125C63"/>
    <w:rsid w:val="00127184"/>
    <w:rsid w:val="00135803"/>
    <w:rsid w:val="001363CA"/>
    <w:rsid w:val="001364AD"/>
    <w:rsid w:val="00144227"/>
    <w:rsid w:val="001462AC"/>
    <w:rsid w:val="0014772E"/>
    <w:rsid w:val="00151C2A"/>
    <w:rsid w:val="00152E21"/>
    <w:rsid w:val="00157511"/>
    <w:rsid w:val="00160B5B"/>
    <w:rsid w:val="00161081"/>
    <w:rsid w:val="00163402"/>
    <w:rsid w:val="00163B64"/>
    <w:rsid w:val="001657A1"/>
    <w:rsid w:val="001665D2"/>
    <w:rsid w:val="0017167E"/>
    <w:rsid w:val="0017266E"/>
    <w:rsid w:val="00172E73"/>
    <w:rsid w:val="00175EDA"/>
    <w:rsid w:val="001774D5"/>
    <w:rsid w:val="0017789C"/>
    <w:rsid w:val="0018010F"/>
    <w:rsid w:val="00180F22"/>
    <w:rsid w:val="00181542"/>
    <w:rsid w:val="00181F8F"/>
    <w:rsid w:val="00182128"/>
    <w:rsid w:val="001839FD"/>
    <w:rsid w:val="001869BC"/>
    <w:rsid w:val="00187761"/>
    <w:rsid w:val="00187833"/>
    <w:rsid w:val="001920DE"/>
    <w:rsid w:val="00194FD2"/>
    <w:rsid w:val="001974F9"/>
    <w:rsid w:val="001A3112"/>
    <w:rsid w:val="001A3653"/>
    <w:rsid w:val="001A3A32"/>
    <w:rsid w:val="001A42A0"/>
    <w:rsid w:val="001A4D87"/>
    <w:rsid w:val="001A5954"/>
    <w:rsid w:val="001A63B3"/>
    <w:rsid w:val="001B08FB"/>
    <w:rsid w:val="001B20CC"/>
    <w:rsid w:val="001B240A"/>
    <w:rsid w:val="001B6BAA"/>
    <w:rsid w:val="001C0903"/>
    <w:rsid w:val="001C1434"/>
    <w:rsid w:val="001C1D77"/>
    <w:rsid w:val="001C29AD"/>
    <w:rsid w:val="001C3558"/>
    <w:rsid w:val="001C36F3"/>
    <w:rsid w:val="001C4FDC"/>
    <w:rsid w:val="001C53F9"/>
    <w:rsid w:val="001D472E"/>
    <w:rsid w:val="001D5B9E"/>
    <w:rsid w:val="001D7591"/>
    <w:rsid w:val="001E08EF"/>
    <w:rsid w:val="001E6978"/>
    <w:rsid w:val="001E75FC"/>
    <w:rsid w:val="001F01AA"/>
    <w:rsid w:val="001F54DD"/>
    <w:rsid w:val="001F5D04"/>
    <w:rsid w:val="001F5DDF"/>
    <w:rsid w:val="001F6DEA"/>
    <w:rsid w:val="00203FD5"/>
    <w:rsid w:val="00207C2C"/>
    <w:rsid w:val="00210FAD"/>
    <w:rsid w:val="00211428"/>
    <w:rsid w:val="00211504"/>
    <w:rsid w:val="002119E4"/>
    <w:rsid w:val="00211E57"/>
    <w:rsid w:val="002170B5"/>
    <w:rsid w:val="0022005E"/>
    <w:rsid w:val="00221D04"/>
    <w:rsid w:val="0022288D"/>
    <w:rsid w:val="00222949"/>
    <w:rsid w:val="00224D03"/>
    <w:rsid w:val="00227333"/>
    <w:rsid w:val="00227385"/>
    <w:rsid w:val="002312E5"/>
    <w:rsid w:val="00232304"/>
    <w:rsid w:val="002328B8"/>
    <w:rsid w:val="00232971"/>
    <w:rsid w:val="00232DA2"/>
    <w:rsid w:val="00232F82"/>
    <w:rsid w:val="00233183"/>
    <w:rsid w:val="002365C4"/>
    <w:rsid w:val="00237706"/>
    <w:rsid w:val="00240A33"/>
    <w:rsid w:val="00243C42"/>
    <w:rsid w:val="0024650E"/>
    <w:rsid w:val="002510D2"/>
    <w:rsid w:val="00251BFC"/>
    <w:rsid w:val="0025519B"/>
    <w:rsid w:val="002566F0"/>
    <w:rsid w:val="002665E8"/>
    <w:rsid w:val="00266799"/>
    <w:rsid w:val="00266E43"/>
    <w:rsid w:val="00270851"/>
    <w:rsid w:val="00274CD1"/>
    <w:rsid w:val="00275011"/>
    <w:rsid w:val="00283A31"/>
    <w:rsid w:val="00285F59"/>
    <w:rsid w:val="00286F65"/>
    <w:rsid w:val="002871C0"/>
    <w:rsid w:val="002873FC"/>
    <w:rsid w:val="00291243"/>
    <w:rsid w:val="002917B5"/>
    <w:rsid w:val="002932FB"/>
    <w:rsid w:val="00295EAE"/>
    <w:rsid w:val="00295F67"/>
    <w:rsid w:val="0029641E"/>
    <w:rsid w:val="002A0103"/>
    <w:rsid w:val="002A24B6"/>
    <w:rsid w:val="002A26ED"/>
    <w:rsid w:val="002A5427"/>
    <w:rsid w:val="002A72AC"/>
    <w:rsid w:val="002A77B8"/>
    <w:rsid w:val="002B1F91"/>
    <w:rsid w:val="002B4F96"/>
    <w:rsid w:val="002B5E2B"/>
    <w:rsid w:val="002B6C42"/>
    <w:rsid w:val="002C0E94"/>
    <w:rsid w:val="002C3B15"/>
    <w:rsid w:val="002C5298"/>
    <w:rsid w:val="002C56F1"/>
    <w:rsid w:val="002C6F7A"/>
    <w:rsid w:val="002D08B2"/>
    <w:rsid w:val="002D1B17"/>
    <w:rsid w:val="002D310C"/>
    <w:rsid w:val="002D3F44"/>
    <w:rsid w:val="002E019E"/>
    <w:rsid w:val="002E039A"/>
    <w:rsid w:val="002E09BD"/>
    <w:rsid w:val="002E4B1E"/>
    <w:rsid w:val="002F2E5C"/>
    <w:rsid w:val="002F7221"/>
    <w:rsid w:val="002F754D"/>
    <w:rsid w:val="002F7EB4"/>
    <w:rsid w:val="003001EA"/>
    <w:rsid w:val="0030201B"/>
    <w:rsid w:val="00303859"/>
    <w:rsid w:val="0030490D"/>
    <w:rsid w:val="003053F2"/>
    <w:rsid w:val="00310953"/>
    <w:rsid w:val="00310DF4"/>
    <w:rsid w:val="0031110F"/>
    <w:rsid w:val="003122E0"/>
    <w:rsid w:val="0031372B"/>
    <w:rsid w:val="00317280"/>
    <w:rsid w:val="0032313D"/>
    <w:rsid w:val="00324C48"/>
    <w:rsid w:val="00326004"/>
    <w:rsid w:val="00326AB1"/>
    <w:rsid w:val="003309D5"/>
    <w:rsid w:val="00331828"/>
    <w:rsid w:val="00334153"/>
    <w:rsid w:val="0033739D"/>
    <w:rsid w:val="003406D7"/>
    <w:rsid w:val="0034503F"/>
    <w:rsid w:val="00345184"/>
    <w:rsid w:val="00347CF4"/>
    <w:rsid w:val="00352BBD"/>
    <w:rsid w:val="0035515C"/>
    <w:rsid w:val="003558C9"/>
    <w:rsid w:val="00355D47"/>
    <w:rsid w:val="00357068"/>
    <w:rsid w:val="003620E8"/>
    <w:rsid w:val="00363E6C"/>
    <w:rsid w:val="00364F09"/>
    <w:rsid w:val="00371202"/>
    <w:rsid w:val="00371BAE"/>
    <w:rsid w:val="003721F1"/>
    <w:rsid w:val="003728A3"/>
    <w:rsid w:val="00375201"/>
    <w:rsid w:val="00375A4F"/>
    <w:rsid w:val="00376C7F"/>
    <w:rsid w:val="003776F4"/>
    <w:rsid w:val="003803BE"/>
    <w:rsid w:val="003807F8"/>
    <w:rsid w:val="00381D27"/>
    <w:rsid w:val="0038301C"/>
    <w:rsid w:val="003906A0"/>
    <w:rsid w:val="00390F4B"/>
    <w:rsid w:val="003910A3"/>
    <w:rsid w:val="00392641"/>
    <w:rsid w:val="00393532"/>
    <w:rsid w:val="00395F6A"/>
    <w:rsid w:val="003A5638"/>
    <w:rsid w:val="003A56C6"/>
    <w:rsid w:val="003B4410"/>
    <w:rsid w:val="003B4B23"/>
    <w:rsid w:val="003B5139"/>
    <w:rsid w:val="003B63DC"/>
    <w:rsid w:val="003B7533"/>
    <w:rsid w:val="003C0993"/>
    <w:rsid w:val="003C1DF4"/>
    <w:rsid w:val="003C2ADA"/>
    <w:rsid w:val="003C2CE4"/>
    <w:rsid w:val="003C5298"/>
    <w:rsid w:val="003D036E"/>
    <w:rsid w:val="003D1D6C"/>
    <w:rsid w:val="003D30CF"/>
    <w:rsid w:val="003E0132"/>
    <w:rsid w:val="003E18E9"/>
    <w:rsid w:val="003E2E8A"/>
    <w:rsid w:val="003E4F1C"/>
    <w:rsid w:val="003E5436"/>
    <w:rsid w:val="003F15B7"/>
    <w:rsid w:val="003F300A"/>
    <w:rsid w:val="003F4989"/>
    <w:rsid w:val="003F5470"/>
    <w:rsid w:val="003F5EA9"/>
    <w:rsid w:val="003F6385"/>
    <w:rsid w:val="00400290"/>
    <w:rsid w:val="0040402A"/>
    <w:rsid w:val="00406833"/>
    <w:rsid w:val="0040784E"/>
    <w:rsid w:val="00407F0A"/>
    <w:rsid w:val="004102AB"/>
    <w:rsid w:val="0041046E"/>
    <w:rsid w:val="00411FE5"/>
    <w:rsid w:val="0041308C"/>
    <w:rsid w:val="00415431"/>
    <w:rsid w:val="00416325"/>
    <w:rsid w:val="00416B41"/>
    <w:rsid w:val="00420F04"/>
    <w:rsid w:val="00422706"/>
    <w:rsid w:val="00423A38"/>
    <w:rsid w:val="00424101"/>
    <w:rsid w:val="00424A3E"/>
    <w:rsid w:val="004304D7"/>
    <w:rsid w:val="00431151"/>
    <w:rsid w:val="00432AB4"/>
    <w:rsid w:val="0043392C"/>
    <w:rsid w:val="004348CC"/>
    <w:rsid w:val="00436EFA"/>
    <w:rsid w:val="0043779C"/>
    <w:rsid w:val="00443D23"/>
    <w:rsid w:val="0044649E"/>
    <w:rsid w:val="00454250"/>
    <w:rsid w:val="00454B1B"/>
    <w:rsid w:val="00456745"/>
    <w:rsid w:val="00456C4A"/>
    <w:rsid w:val="004579EE"/>
    <w:rsid w:val="00457CA8"/>
    <w:rsid w:val="00461236"/>
    <w:rsid w:val="00461DDA"/>
    <w:rsid w:val="00463F2D"/>
    <w:rsid w:val="004654A1"/>
    <w:rsid w:val="00467462"/>
    <w:rsid w:val="0047093D"/>
    <w:rsid w:val="0047100D"/>
    <w:rsid w:val="00472763"/>
    <w:rsid w:val="004861C0"/>
    <w:rsid w:val="004878F4"/>
    <w:rsid w:val="00490313"/>
    <w:rsid w:val="0049061E"/>
    <w:rsid w:val="004961AF"/>
    <w:rsid w:val="004A12B4"/>
    <w:rsid w:val="004A12CA"/>
    <w:rsid w:val="004A1594"/>
    <w:rsid w:val="004A43B0"/>
    <w:rsid w:val="004A45F4"/>
    <w:rsid w:val="004B3B36"/>
    <w:rsid w:val="004B5EB6"/>
    <w:rsid w:val="004B7DA3"/>
    <w:rsid w:val="004C078A"/>
    <w:rsid w:val="004C08C8"/>
    <w:rsid w:val="004C1422"/>
    <w:rsid w:val="004C3CAD"/>
    <w:rsid w:val="004D0141"/>
    <w:rsid w:val="004D1AD4"/>
    <w:rsid w:val="004D3EF2"/>
    <w:rsid w:val="004D443F"/>
    <w:rsid w:val="004D7090"/>
    <w:rsid w:val="004E061D"/>
    <w:rsid w:val="004E12D9"/>
    <w:rsid w:val="004E4052"/>
    <w:rsid w:val="004E4EEC"/>
    <w:rsid w:val="004E551B"/>
    <w:rsid w:val="004E7E93"/>
    <w:rsid w:val="004F1811"/>
    <w:rsid w:val="004F4B2F"/>
    <w:rsid w:val="004F7CF3"/>
    <w:rsid w:val="0050197A"/>
    <w:rsid w:val="00501DE7"/>
    <w:rsid w:val="005026AE"/>
    <w:rsid w:val="00507D06"/>
    <w:rsid w:val="005110C4"/>
    <w:rsid w:val="00513771"/>
    <w:rsid w:val="005143AB"/>
    <w:rsid w:val="00515163"/>
    <w:rsid w:val="0052069A"/>
    <w:rsid w:val="00521B82"/>
    <w:rsid w:val="00521C77"/>
    <w:rsid w:val="00522BEC"/>
    <w:rsid w:val="005266BD"/>
    <w:rsid w:val="0052704B"/>
    <w:rsid w:val="0053009F"/>
    <w:rsid w:val="00530D2C"/>
    <w:rsid w:val="00532B30"/>
    <w:rsid w:val="00535FB3"/>
    <w:rsid w:val="00537B98"/>
    <w:rsid w:val="00542AE8"/>
    <w:rsid w:val="00543F5A"/>
    <w:rsid w:val="00545BA0"/>
    <w:rsid w:val="00546300"/>
    <w:rsid w:val="00547B0E"/>
    <w:rsid w:val="0055175D"/>
    <w:rsid w:val="00552270"/>
    <w:rsid w:val="00552C91"/>
    <w:rsid w:val="00553756"/>
    <w:rsid w:val="005577AE"/>
    <w:rsid w:val="005578C3"/>
    <w:rsid w:val="00557DDD"/>
    <w:rsid w:val="00562BDF"/>
    <w:rsid w:val="005649E2"/>
    <w:rsid w:val="00565269"/>
    <w:rsid w:val="00570287"/>
    <w:rsid w:val="00571677"/>
    <w:rsid w:val="005717C8"/>
    <w:rsid w:val="005739CF"/>
    <w:rsid w:val="00574088"/>
    <w:rsid w:val="00574792"/>
    <w:rsid w:val="005769A3"/>
    <w:rsid w:val="00581DC1"/>
    <w:rsid w:val="00583CAA"/>
    <w:rsid w:val="005849AC"/>
    <w:rsid w:val="00585607"/>
    <w:rsid w:val="005859D7"/>
    <w:rsid w:val="00586297"/>
    <w:rsid w:val="00590683"/>
    <w:rsid w:val="00591006"/>
    <w:rsid w:val="00592B23"/>
    <w:rsid w:val="005946BC"/>
    <w:rsid w:val="00594EA4"/>
    <w:rsid w:val="00595F26"/>
    <w:rsid w:val="00595F38"/>
    <w:rsid w:val="00596421"/>
    <w:rsid w:val="00596C98"/>
    <w:rsid w:val="00597867"/>
    <w:rsid w:val="005A15AD"/>
    <w:rsid w:val="005A6181"/>
    <w:rsid w:val="005A714F"/>
    <w:rsid w:val="005A74D3"/>
    <w:rsid w:val="005A7EE7"/>
    <w:rsid w:val="005C04BD"/>
    <w:rsid w:val="005C216D"/>
    <w:rsid w:val="005C5520"/>
    <w:rsid w:val="005C5BB0"/>
    <w:rsid w:val="005C720C"/>
    <w:rsid w:val="005D070B"/>
    <w:rsid w:val="005D38EA"/>
    <w:rsid w:val="005D4F1E"/>
    <w:rsid w:val="005D60CD"/>
    <w:rsid w:val="005D6571"/>
    <w:rsid w:val="005D6BD6"/>
    <w:rsid w:val="005D78AA"/>
    <w:rsid w:val="005E096F"/>
    <w:rsid w:val="005E09DD"/>
    <w:rsid w:val="005E2D95"/>
    <w:rsid w:val="005E3D05"/>
    <w:rsid w:val="005F26F8"/>
    <w:rsid w:val="005F4CFA"/>
    <w:rsid w:val="005F5049"/>
    <w:rsid w:val="005F7AFF"/>
    <w:rsid w:val="00600719"/>
    <w:rsid w:val="00600D55"/>
    <w:rsid w:val="0060202B"/>
    <w:rsid w:val="00603A9D"/>
    <w:rsid w:val="00604B68"/>
    <w:rsid w:val="00607944"/>
    <w:rsid w:val="006124C4"/>
    <w:rsid w:val="0061405C"/>
    <w:rsid w:val="00627D51"/>
    <w:rsid w:val="00631742"/>
    <w:rsid w:val="00633060"/>
    <w:rsid w:val="006333EB"/>
    <w:rsid w:val="0063527D"/>
    <w:rsid w:val="006367B1"/>
    <w:rsid w:val="0063740D"/>
    <w:rsid w:val="00637C06"/>
    <w:rsid w:val="00641DCC"/>
    <w:rsid w:val="00643764"/>
    <w:rsid w:val="0065020E"/>
    <w:rsid w:val="006514B1"/>
    <w:rsid w:val="00652D08"/>
    <w:rsid w:val="00656304"/>
    <w:rsid w:val="00656872"/>
    <w:rsid w:val="006605F7"/>
    <w:rsid w:val="0066375E"/>
    <w:rsid w:val="00663AD6"/>
    <w:rsid w:val="0066482E"/>
    <w:rsid w:val="0067250C"/>
    <w:rsid w:val="00673685"/>
    <w:rsid w:val="00674C4E"/>
    <w:rsid w:val="00675EAD"/>
    <w:rsid w:val="00681D01"/>
    <w:rsid w:val="00682C76"/>
    <w:rsid w:val="00682D5D"/>
    <w:rsid w:val="0068484E"/>
    <w:rsid w:val="006863C7"/>
    <w:rsid w:val="0069110C"/>
    <w:rsid w:val="00692113"/>
    <w:rsid w:val="00693C88"/>
    <w:rsid w:val="00696D44"/>
    <w:rsid w:val="00696FE1"/>
    <w:rsid w:val="006972D2"/>
    <w:rsid w:val="006976E3"/>
    <w:rsid w:val="00697D1F"/>
    <w:rsid w:val="006A15F4"/>
    <w:rsid w:val="006A17C8"/>
    <w:rsid w:val="006A1DB4"/>
    <w:rsid w:val="006A4A13"/>
    <w:rsid w:val="006A5022"/>
    <w:rsid w:val="006A684A"/>
    <w:rsid w:val="006B0277"/>
    <w:rsid w:val="006B1342"/>
    <w:rsid w:val="006B1B92"/>
    <w:rsid w:val="006B21E4"/>
    <w:rsid w:val="006B257D"/>
    <w:rsid w:val="006B35E5"/>
    <w:rsid w:val="006B37A8"/>
    <w:rsid w:val="006B37C2"/>
    <w:rsid w:val="006C1E2B"/>
    <w:rsid w:val="006C2756"/>
    <w:rsid w:val="006C2BE0"/>
    <w:rsid w:val="006C4CCB"/>
    <w:rsid w:val="006D0774"/>
    <w:rsid w:val="006D2F88"/>
    <w:rsid w:val="006D36AB"/>
    <w:rsid w:val="006D6C97"/>
    <w:rsid w:val="006E1652"/>
    <w:rsid w:val="006E19D2"/>
    <w:rsid w:val="006E2553"/>
    <w:rsid w:val="006E381F"/>
    <w:rsid w:val="006E5369"/>
    <w:rsid w:val="006E61B0"/>
    <w:rsid w:val="006E6BBD"/>
    <w:rsid w:val="006F1B9F"/>
    <w:rsid w:val="006F1D9B"/>
    <w:rsid w:val="006F3142"/>
    <w:rsid w:val="006F456D"/>
    <w:rsid w:val="006F4D81"/>
    <w:rsid w:val="006F5FC9"/>
    <w:rsid w:val="007030FC"/>
    <w:rsid w:val="007077A5"/>
    <w:rsid w:val="00712201"/>
    <w:rsid w:val="007128CB"/>
    <w:rsid w:val="00713F96"/>
    <w:rsid w:val="007207AD"/>
    <w:rsid w:val="00723F73"/>
    <w:rsid w:val="00724482"/>
    <w:rsid w:val="00724EF6"/>
    <w:rsid w:val="00730471"/>
    <w:rsid w:val="00731E59"/>
    <w:rsid w:val="00732A68"/>
    <w:rsid w:val="00733274"/>
    <w:rsid w:val="0073394C"/>
    <w:rsid w:val="00735527"/>
    <w:rsid w:val="00736C94"/>
    <w:rsid w:val="00737C2A"/>
    <w:rsid w:val="00737F08"/>
    <w:rsid w:val="00740A2A"/>
    <w:rsid w:val="007436D9"/>
    <w:rsid w:val="007455A2"/>
    <w:rsid w:val="00750547"/>
    <w:rsid w:val="00750F12"/>
    <w:rsid w:val="00755CF5"/>
    <w:rsid w:val="00756024"/>
    <w:rsid w:val="007677CC"/>
    <w:rsid w:val="007678E0"/>
    <w:rsid w:val="007727FA"/>
    <w:rsid w:val="00773379"/>
    <w:rsid w:val="007741D3"/>
    <w:rsid w:val="00774B5A"/>
    <w:rsid w:val="00781A7B"/>
    <w:rsid w:val="00784813"/>
    <w:rsid w:val="007850B9"/>
    <w:rsid w:val="00785BC2"/>
    <w:rsid w:val="007910E8"/>
    <w:rsid w:val="00791ED4"/>
    <w:rsid w:val="0079331A"/>
    <w:rsid w:val="00794532"/>
    <w:rsid w:val="00796351"/>
    <w:rsid w:val="00797D2E"/>
    <w:rsid w:val="007A1815"/>
    <w:rsid w:val="007A3AA9"/>
    <w:rsid w:val="007A3B31"/>
    <w:rsid w:val="007A7AAE"/>
    <w:rsid w:val="007B072C"/>
    <w:rsid w:val="007B0BAB"/>
    <w:rsid w:val="007B1A38"/>
    <w:rsid w:val="007B237A"/>
    <w:rsid w:val="007B669C"/>
    <w:rsid w:val="007B6A9A"/>
    <w:rsid w:val="007B6FDB"/>
    <w:rsid w:val="007B71E9"/>
    <w:rsid w:val="007B7A15"/>
    <w:rsid w:val="007B7D5E"/>
    <w:rsid w:val="007C18DD"/>
    <w:rsid w:val="007C2B3D"/>
    <w:rsid w:val="007C4B04"/>
    <w:rsid w:val="007C70CF"/>
    <w:rsid w:val="007C77F3"/>
    <w:rsid w:val="007D1BC1"/>
    <w:rsid w:val="007D2A31"/>
    <w:rsid w:val="007D3E0E"/>
    <w:rsid w:val="007D42B8"/>
    <w:rsid w:val="007D4600"/>
    <w:rsid w:val="007D6D29"/>
    <w:rsid w:val="007D6DCB"/>
    <w:rsid w:val="007D75DA"/>
    <w:rsid w:val="007E54F2"/>
    <w:rsid w:val="007F02B4"/>
    <w:rsid w:val="007F0EB4"/>
    <w:rsid w:val="007F2CDC"/>
    <w:rsid w:val="007F35D3"/>
    <w:rsid w:val="0080021C"/>
    <w:rsid w:val="00801566"/>
    <w:rsid w:val="00803D6C"/>
    <w:rsid w:val="00804EA3"/>
    <w:rsid w:val="00805DC7"/>
    <w:rsid w:val="00805E40"/>
    <w:rsid w:val="00817AC8"/>
    <w:rsid w:val="00817B0B"/>
    <w:rsid w:val="00820818"/>
    <w:rsid w:val="00821AD2"/>
    <w:rsid w:val="00822435"/>
    <w:rsid w:val="00822DB6"/>
    <w:rsid w:val="008250BB"/>
    <w:rsid w:val="00830724"/>
    <w:rsid w:val="008332BF"/>
    <w:rsid w:val="0083613F"/>
    <w:rsid w:val="00837DF0"/>
    <w:rsid w:val="0084018B"/>
    <w:rsid w:val="008436B6"/>
    <w:rsid w:val="00844812"/>
    <w:rsid w:val="008462BF"/>
    <w:rsid w:val="0084779F"/>
    <w:rsid w:val="00847AA0"/>
    <w:rsid w:val="0085409D"/>
    <w:rsid w:val="00854FC7"/>
    <w:rsid w:val="00855C6B"/>
    <w:rsid w:val="0086109E"/>
    <w:rsid w:val="0086276E"/>
    <w:rsid w:val="00862996"/>
    <w:rsid w:val="00864EEB"/>
    <w:rsid w:val="008673F0"/>
    <w:rsid w:val="008674C0"/>
    <w:rsid w:val="008700CA"/>
    <w:rsid w:val="00872879"/>
    <w:rsid w:val="00872BB6"/>
    <w:rsid w:val="00872BF5"/>
    <w:rsid w:val="00872F49"/>
    <w:rsid w:val="00873965"/>
    <w:rsid w:val="00874A5E"/>
    <w:rsid w:val="0087550C"/>
    <w:rsid w:val="00876861"/>
    <w:rsid w:val="00876C12"/>
    <w:rsid w:val="00877AF5"/>
    <w:rsid w:val="00880060"/>
    <w:rsid w:val="00880EC1"/>
    <w:rsid w:val="008810AC"/>
    <w:rsid w:val="00882A77"/>
    <w:rsid w:val="008868A8"/>
    <w:rsid w:val="00887A70"/>
    <w:rsid w:val="0089384B"/>
    <w:rsid w:val="008938B3"/>
    <w:rsid w:val="00896456"/>
    <w:rsid w:val="00897E6E"/>
    <w:rsid w:val="008A068E"/>
    <w:rsid w:val="008A283E"/>
    <w:rsid w:val="008A485D"/>
    <w:rsid w:val="008A6342"/>
    <w:rsid w:val="008A6587"/>
    <w:rsid w:val="008B0BA9"/>
    <w:rsid w:val="008B1355"/>
    <w:rsid w:val="008B5167"/>
    <w:rsid w:val="008B6BBD"/>
    <w:rsid w:val="008C0447"/>
    <w:rsid w:val="008C4B7A"/>
    <w:rsid w:val="008D0865"/>
    <w:rsid w:val="008D0C39"/>
    <w:rsid w:val="008D1319"/>
    <w:rsid w:val="008D3A34"/>
    <w:rsid w:val="008E33D2"/>
    <w:rsid w:val="008F1A4A"/>
    <w:rsid w:val="008F26C2"/>
    <w:rsid w:val="008F40CB"/>
    <w:rsid w:val="008F4262"/>
    <w:rsid w:val="008F64FE"/>
    <w:rsid w:val="008F697E"/>
    <w:rsid w:val="00900A6B"/>
    <w:rsid w:val="009016CF"/>
    <w:rsid w:val="00903115"/>
    <w:rsid w:val="009043BA"/>
    <w:rsid w:val="00904840"/>
    <w:rsid w:val="00904EB0"/>
    <w:rsid w:val="009142C4"/>
    <w:rsid w:val="009152FF"/>
    <w:rsid w:val="009176CF"/>
    <w:rsid w:val="00922BB5"/>
    <w:rsid w:val="00922BBF"/>
    <w:rsid w:val="00922FC0"/>
    <w:rsid w:val="00923E53"/>
    <w:rsid w:val="0092515F"/>
    <w:rsid w:val="00926000"/>
    <w:rsid w:val="009265C2"/>
    <w:rsid w:val="00926C41"/>
    <w:rsid w:val="00927667"/>
    <w:rsid w:val="00927F25"/>
    <w:rsid w:val="00932162"/>
    <w:rsid w:val="0093219B"/>
    <w:rsid w:val="00933B90"/>
    <w:rsid w:val="00933C34"/>
    <w:rsid w:val="009345AB"/>
    <w:rsid w:val="00937B36"/>
    <w:rsid w:val="00942930"/>
    <w:rsid w:val="00942D3A"/>
    <w:rsid w:val="009449A2"/>
    <w:rsid w:val="009518DE"/>
    <w:rsid w:val="00957C38"/>
    <w:rsid w:val="00961653"/>
    <w:rsid w:val="0096339A"/>
    <w:rsid w:val="00965B1D"/>
    <w:rsid w:val="00967746"/>
    <w:rsid w:val="00970323"/>
    <w:rsid w:val="00976272"/>
    <w:rsid w:val="00976467"/>
    <w:rsid w:val="00986970"/>
    <w:rsid w:val="009871BE"/>
    <w:rsid w:val="0098732B"/>
    <w:rsid w:val="0099128C"/>
    <w:rsid w:val="00991808"/>
    <w:rsid w:val="00991C3F"/>
    <w:rsid w:val="00994E12"/>
    <w:rsid w:val="009A0946"/>
    <w:rsid w:val="009A210E"/>
    <w:rsid w:val="009A4182"/>
    <w:rsid w:val="009A4A8E"/>
    <w:rsid w:val="009A6B15"/>
    <w:rsid w:val="009A7A82"/>
    <w:rsid w:val="009B1B2C"/>
    <w:rsid w:val="009B21CE"/>
    <w:rsid w:val="009B2E2C"/>
    <w:rsid w:val="009C168A"/>
    <w:rsid w:val="009C1D55"/>
    <w:rsid w:val="009C28C7"/>
    <w:rsid w:val="009C3BBA"/>
    <w:rsid w:val="009C4E27"/>
    <w:rsid w:val="009C504E"/>
    <w:rsid w:val="009C63A0"/>
    <w:rsid w:val="009C7F76"/>
    <w:rsid w:val="009D06AB"/>
    <w:rsid w:val="009D2CDD"/>
    <w:rsid w:val="009D3696"/>
    <w:rsid w:val="009D54AA"/>
    <w:rsid w:val="009D7926"/>
    <w:rsid w:val="009E0BD5"/>
    <w:rsid w:val="009E3678"/>
    <w:rsid w:val="009F057E"/>
    <w:rsid w:val="009F154D"/>
    <w:rsid w:val="009F4CF8"/>
    <w:rsid w:val="009F56AD"/>
    <w:rsid w:val="009F6738"/>
    <w:rsid w:val="009F6FCD"/>
    <w:rsid w:val="00A00E68"/>
    <w:rsid w:val="00A0131A"/>
    <w:rsid w:val="00A02B3E"/>
    <w:rsid w:val="00A042DD"/>
    <w:rsid w:val="00A04CE0"/>
    <w:rsid w:val="00A061E4"/>
    <w:rsid w:val="00A06712"/>
    <w:rsid w:val="00A06A20"/>
    <w:rsid w:val="00A1034B"/>
    <w:rsid w:val="00A112C6"/>
    <w:rsid w:val="00A1269F"/>
    <w:rsid w:val="00A137F9"/>
    <w:rsid w:val="00A1739E"/>
    <w:rsid w:val="00A17AAF"/>
    <w:rsid w:val="00A22DED"/>
    <w:rsid w:val="00A23573"/>
    <w:rsid w:val="00A263CE"/>
    <w:rsid w:val="00A30234"/>
    <w:rsid w:val="00A31507"/>
    <w:rsid w:val="00A31D55"/>
    <w:rsid w:val="00A3412C"/>
    <w:rsid w:val="00A34673"/>
    <w:rsid w:val="00A355A9"/>
    <w:rsid w:val="00A37784"/>
    <w:rsid w:val="00A40BB0"/>
    <w:rsid w:val="00A41560"/>
    <w:rsid w:val="00A470E0"/>
    <w:rsid w:val="00A47683"/>
    <w:rsid w:val="00A52199"/>
    <w:rsid w:val="00A529D3"/>
    <w:rsid w:val="00A53C82"/>
    <w:rsid w:val="00A54CE9"/>
    <w:rsid w:val="00A55CF0"/>
    <w:rsid w:val="00A56E73"/>
    <w:rsid w:val="00A636C0"/>
    <w:rsid w:val="00A6374E"/>
    <w:rsid w:val="00A65017"/>
    <w:rsid w:val="00A740B0"/>
    <w:rsid w:val="00A75001"/>
    <w:rsid w:val="00A7588B"/>
    <w:rsid w:val="00A76D0D"/>
    <w:rsid w:val="00A808D7"/>
    <w:rsid w:val="00A8135F"/>
    <w:rsid w:val="00A826CB"/>
    <w:rsid w:val="00A94F0B"/>
    <w:rsid w:val="00A9666A"/>
    <w:rsid w:val="00AA06A7"/>
    <w:rsid w:val="00AA07A2"/>
    <w:rsid w:val="00AA0937"/>
    <w:rsid w:val="00AA0E53"/>
    <w:rsid w:val="00AA2FA0"/>
    <w:rsid w:val="00AA4424"/>
    <w:rsid w:val="00AA5735"/>
    <w:rsid w:val="00AA6BA6"/>
    <w:rsid w:val="00AA73BE"/>
    <w:rsid w:val="00AB0A88"/>
    <w:rsid w:val="00AB46B1"/>
    <w:rsid w:val="00AB58CF"/>
    <w:rsid w:val="00AB5E9D"/>
    <w:rsid w:val="00AC00D3"/>
    <w:rsid w:val="00AC011B"/>
    <w:rsid w:val="00AC13A5"/>
    <w:rsid w:val="00AC2461"/>
    <w:rsid w:val="00AC4D33"/>
    <w:rsid w:val="00AC7175"/>
    <w:rsid w:val="00AC7B15"/>
    <w:rsid w:val="00AD33E4"/>
    <w:rsid w:val="00AD3575"/>
    <w:rsid w:val="00AD4002"/>
    <w:rsid w:val="00AD451E"/>
    <w:rsid w:val="00AD4C86"/>
    <w:rsid w:val="00AD6680"/>
    <w:rsid w:val="00AD6C2A"/>
    <w:rsid w:val="00AE1207"/>
    <w:rsid w:val="00AE3A8F"/>
    <w:rsid w:val="00AE43D3"/>
    <w:rsid w:val="00AE4A0B"/>
    <w:rsid w:val="00AE5280"/>
    <w:rsid w:val="00AF0B37"/>
    <w:rsid w:val="00AF12E5"/>
    <w:rsid w:val="00AF25A1"/>
    <w:rsid w:val="00AF3000"/>
    <w:rsid w:val="00AF6202"/>
    <w:rsid w:val="00AF75EB"/>
    <w:rsid w:val="00B00C56"/>
    <w:rsid w:val="00B02A67"/>
    <w:rsid w:val="00B043E9"/>
    <w:rsid w:val="00B06A12"/>
    <w:rsid w:val="00B11BA6"/>
    <w:rsid w:val="00B137D8"/>
    <w:rsid w:val="00B1403E"/>
    <w:rsid w:val="00B1406E"/>
    <w:rsid w:val="00B14480"/>
    <w:rsid w:val="00B146F0"/>
    <w:rsid w:val="00B15394"/>
    <w:rsid w:val="00B15536"/>
    <w:rsid w:val="00B27107"/>
    <w:rsid w:val="00B27FBD"/>
    <w:rsid w:val="00B32E29"/>
    <w:rsid w:val="00B4331D"/>
    <w:rsid w:val="00B43F6F"/>
    <w:rsid w:val="00B539A9"/>
    <w:rsid w:val="00B53ED2"/>
    <w:rsid w:val="00B54D26"/>
    <w:rsid w:val="00B55C54"/>
    <w:rsid w:val="00B561E5"/>
    <w:rsid w:val="00B5638F"/>
    <w:rsid w:val="00B56847"/>
    <w:rsid w:val="00B60741"/>
    <w:rsid w:val="00B61453"/>
    <w:rsid w:val="00B637F8"/>
    <w:rsid w:val="00B657B2"/>
    <w:rsid w:val="00B6622B"/>
    <w:rsid w:val="00B66492"/>
    <w:rsid w:val="00B6698C"/>
    <w:rsid w:val="00B6741A"/>
    <w:rsid w:val="00B70C6B"/>
    <w:rsid w:val="00B750AE"/>
    <w:rsid w:val="00B75193"/>
    <w:rsid w:val="00B75D80"/>
    <w:rsid w:val="00B76B96"/>
    <w:rsid w:val="00B77F95"/>
    <w:rsid w:val="00B8561E"/>
    <w:rsid w:val="00B86221"/>
    <w:rsid w:val="00B907C0"/>
    <w:rsid w:val="00B908CB"/>
    <w:rsid w:val="00B9470C"/>
    <w:rsid w:val="00BA2EB9"/>
    <w:rsid w:val="00BA48C6"/>
    <w:rsid w:val="00BA5E65"/>
    <w:rsid w:val="00BB0630"/>
    <w:rsid w:val="00BB2D65"/>
    <w:rsid w:val="00BB3912"/>
    <w:rsid w:val="00BB3AB1"/>
    <w:rsid w:val="00BB496C"/>
    <w:rsid w:val="00BB711B"/>
    <w:rsid w:val="00BB7159"/>
    <w:rsid w:val="00BC1067"/>
    <w:rsid w:val="00BC25BD"/>
    <w:rsid w:val="00BC297E"/>
    <w:rsid w:val="00BC36AA"/>
    <w:rsid w:val="00BC382C"/>
    <w:rsid w:val="00BC3EE3"/>
    <w:rsid w:val="00BC40B7"/>
    <w:rsid w:val="00BC4CCE"/>
    <w:rsid w:val="00BC59F3"/>
    <w:rsid w:val="00BC5B3F"/>
    <w:rsid w:val="00BC5DB5"/>
    <w:rsid w:val="00BD26D8"/>
    <w:rsid w:val="00BD293D"/>
    <w:rsid w:val="00BD29CE"/>
    <w:rsid w:val="00BD2D52"/>
    <w:rsid w:val="00BD4E2F"/>
    <w:rsid w:val="00BD6FE0"/>
    <w:rsid w:val="00BD7DCC"/>
    <w:rsid w:val="00BE02FD"/>
    <w:rsid w:val="00BE2C79"/>
    <w:rsid w:val="00BE5605"/>
    <w:rsid w:val="00BE67A9"/>
    <w:rsid w:val="00BE740A"/>
    <w:rsid w:val="00BF07BF"/>
    <w:rsid w:val="00BF08C0"/>
    <w:rsid w:val="00BF0B89"/>
    <w:rsid w:val="00BF129B"/>
    <w:rsid w:val="00BF1A9E"/>
    <w:rsid w:val="00BF2DAA"/>
    <w:rsid w:val="00BF3990"/>
    <w:rsid w:val="00BF7CFE"/>
    <w:rsid w:val="00C0443E"/>
    <w:rsid w:val="00C0448B"/>
    <w:rsid w:val="00C0449D"/>
    <w:rsid w:val="00C045D5"/>
    <w:rsid w:val="00C05583"/>
    <w:rsid w:val="00C0587E"/>
    <w:rsid w:val="00C11285"/>
    <w:rsid w:val="00C12664"/>
    <w:rsid w:val="00C13E7B"/>
    <w:rsid w:val="00C14CF8"/>
    <w:rsid w:val="00C15C82"/>
    <w:rsid w:val="00C20FD7"/>
    <w:rsid w:val="00C243EA"/>
    <w:rsid w:val="00C26876"/>
    <w:rsid w:val="00C308AD"/>
    <w:rsid w:val="00C31E49"/>
    <w:rsid w:val="00C406BB"/>
    <w:rsid w:val="00C42D6F"/>
    <w:rsid w:val="00C43A0B"/>
    <w:rsid w:val="00C45C92"/>
    <w:rsid w:val="00C45D99"/>
    <w:rsid w:val="00C46099"/>
    <w:rsid w:val="00C47E1F"/>
    <w:rsid w:val="00C47FE0"/>
    <w:rsid w:val="00C5127B"/>
    <w:rsid w:val="00C51BF7"/>
    <w:rsid w:val="00C5229F"/>
    <w:rsid w:val="00C52A94"/>
    <w:rsid w:val="00C53083"/>
    <w:rsid w:val="00C5644D"/>
    <w:rsid w:val="00C574E5"/>
    <w:rsid w:val="00C57656"/>
    <w:rsid w:val="00C601CB"/>
    <w:rsid w:val="00C6108C"/>
    <w:rsid w:val="00C701BF"/>
    <w:rsid w:val="00C712A1"/>
    <w:rsid w:val="00C71F58"/>
    <w:rsid w:val="00C739CF"/>
    <w:rsid w:val="00C73AFE"/>
    <w:rsid w:val="00C74559"/>
    <w:rsid w:val="00C77D4F"/>
    <w:rsid w:val="00C817B3"/>
    <w:rsid w:val="00C85F28"/>
    <w:rsid w:val="00C8781A"/>
    <w:rsid w:val="00C87BB6"/>
    <w:rsid w:val="00C9465F"/>
    <w:rsid w:val="00C96A99"/>
    <w:rsid w:val="00CA00F1"/>
    <w:rsid w:val="00CA046C"/>
    <w:rsid w:val="00CA1D37"/>
    <w:rsid w:val="00CA2AF2"/>
    <w:rsid w:val="00CA4B83"/>
    <w:rsid w:val="00CA526C"/>
    <w:rsid w:val="00CA678B"/>
    <w:rsid w:val="00CA7151"/>
    <w:rsid w:val="00CA7998"/>
    <w:rsid w:val="00CB052C"/>
    <w:rsid w:val="00CB05EF"/>
    <w:rsid w:val="00CB0A07"/>
    <w:rsid w:val="00CB15C5"/>
    <w:rsid w:val="00CB1E76"/>
    <w:rsid w:val="00CB28F4"/>
    <w:rsid w:val="00CB6B9B"/>
    <w:rsid w:val="00CB6C74"/>
    <w:rsid w:val="00CC5F81"/>
    <w:rsid w:val="00CC69E4"/>
    <w:rsid w:val="00CD04BA"/>
    <w:rsid w:val="00CD0BB9"/>
    <w:rsid w:val="00CD0DA0"/>
    <w:rsid w:val="00CD20D6"/>
    <w:rsid w:val="00CD27A6"/>
    <w:rsid w:val="00CD3A91"/>
    <w:rsid w:val="00CD3FE0"/>
    <w:rsid w:val="00CD7263"/>
    <w:rsid w:val="00CE0F3A"/>
    <w:rsid w:val="00CE1C4C"/>
    <w:rsid w:val="00CE5383"/>
    <w:rsid w:val="00CF2A24"/>
    <w:rsid w:val="00CF6BCE"/>
    <w:rsid w:val="00D02B35"/>
    <w:rsid w:val="00D0339C"/>
    <w:rsid w:val="00D0622D"/>
    <w:rsid w:val="00D06F83"/>
    <w:rsid w:val="00D11047"/>
    <w:rsid w:val="00D12D6E"/>
    <w:rsid w:val="00D164B8"/>
    <w:rsid w:val="00D209A4"/>
    <w:rsid w:val="00D2166C"/>
    <w:rsid w:val="00D21F3D"/>
    <w:rsid w:val="00D2201D"/>
    <w:rsid w:val="00D22910"/>
    <w:rsid w:val="00D23018"/>
    <w:rsid w:val="00D26480"/>
    <w:rsid w:val="00D27AD6"/>
    <w:rsid w:val="00D3431E"/>
    <w:rsid w:val="00D351E4"/>
    <w:rsid w:val="00D36B12"/>
    <w:rsid w:val="00D3795D"/>
    <w:rsid w:val="00D4008B"/>
    <w:rsid w:val="00D40A8E"/>
    <w:rsid w:val="00D43784"/>
    <w:rsid w:val="00D43B2D"/>
    <w:rsid w:val="00D45F63"/>
    <w:rsid w:val="00D500CE"/>
    <w:rsid w:val="00D52B35"/>
    <w:rsid w:val="00D557F0"/>
    <w:rsid w:val="00D56609"/>
    <w:rsid w:val="00D5787B"/>
    <w:rsid w:val="00D6147F"/>
    <w:rsid w:val="00D6344D"/>
    <w:rsid w:val="00D63639"/>
    <w:rsid w:val="00D63E0E"/>
    <w:rsid w:val="00D65A0B"/>
    <w:rsid w:val="00D73E6E"/>
    <w:rsid w:val="00D77311"/>
    <w:rsid w:val="00D80FFD"/>
    <w:rsid w:val="00D81C9B"/>
    <w:rsid w:val="00D82D1B"/>
    <w:rsid w:val="00D83C9A"/>
    <w:rsid w:val="00D84574"/>
    <w:rsid w:val="00D87194"/>
    <w:rsid w:val="00D900CA"/>
    <w:rsid w:val="00D93C3D"/>
    <w:rsid w:val="00D93E0C"/>
    <w:rsid w:val="00D93E27"/>
    <w:rsid w:val="00D976B2"/>
    <w:rsid w:val="00DA179C"/>
    <w:rsid w:val="00DA2891"/>
    <w:rsid w:val="00DA3540"/>
    <w:rsid w:val="00DA42A1"/>
    <w:rsid w:val="00DA4E7B"/>
    <w:rsid w:val="00DA53D4"/>
    <w:rsid w:val="00DA55F7"/>
    <w:rsid w:val="00DA68C0"/>
    <w:rsid w:val="00DB14F6"/>
    <w:rsid w:val="00DB291F"/>
    <w:rsid w:val="00DB3721"/>
    <w:rsid w:val="00DB4BDB"/>
    <w:rsid w:val="00DB7EEE"/>
    <w:rsid w:val="00DC08E7"/>
    <w:rsid w:val="00DC123F"/>
    <w:rsid w:val="00DC2951"/>
    <w:rsid w:val="00DC47FD"/>
    <w:rsid w:val="00DC5B63"/>
    <w:rsid w:val="00DC759A"/>
    <w:rsid w:val="00DD0191"/>
    <w:rsid w:val="00DD0D31"/>
    <w:rsid w:val="00DD1AA2"/>
    <w:rsid w:val="00DD2055"/>
    <w:rsid w:val="00DD2910"/>
    <w:rsid w:val="00DD2D26"/>
    <w:rsid w:val="00DD37AA"/>
    <w:rsid w:val="00DD4A41"/>
    <w:rsid w:val="00DD4D96"/>
    <w:rsid w:val="00DD5594"/>
    <w:rsid w:val="00DD5A7D"/>
    <w:rsid w:val="00DD6DA0"/>
    <w:rsid w:val="00DD7083"/>
    <w:rsid w:val="00DE22C2"/>
    <w:rsid w:val="00DE3DC8"/>
    <w:rsid w:val="00DE3FE6"/>
    <w:rsid w:val="00DE52E5"/>
    <w:rsid w:val="00DE7F69"/>
    <w:rsid w:val="00DF4634"/>
    <w:rsid w:val="00DF5220"/>
    <w:rsid w:val="00DF61C4"/>
    <w:rsid w:val="00DF62DD"/>
    <w:rsid w:val="00DF7871"/>
    <w:rsid w:val="00E01A4F"/>
    <w:rsid w:val="00E02AA2"/>
    <w:rsid w:val="00E071FA"/>
    <w:rsid w:val="00E11F3B"/>
    <w:rsid w:val="00E16768"/>
    <w:rsid w:val="00E20DCE"/>
    <w:rsid w:val="00E21020"/>
    <w:rsid w:val="00E23910"/>
    <w:rsid w:val="00E2781B"/>
    <w:rsid w:val="00E3079B"/>
    <w:rsid w:val="00E3176A"/>
    <w:rsid w:val="00E332D1"/>
    <w:rsid w:val="00E36F24"/>
    <w:rsid w:val="00E40377"/>
    <w:rsid w:val="00E40DC4"/>
    <w:rsid w:val="00E42FE9"/>
    <w:rsid w:val="00E47F5F"/>
    <w:rsid w:val="00E51B61"/>
    <w:rsid w:val="00E525BC"/>
    <w:rsid w:val="00E5306C"/>
    <w:rsid w:val="00E55947"/>
    <w:rsid w:val="00E57386"/>
    <w:rsid w:val="00E611E3"/>
    <w:rsid w:val="00E61EBB"/>
    <w:rsid w:val="00E62A15"/>
    <w:rsid w:val="00E63D83"/>
    <w:rsid w:val="00E646A6"/>
    <w:rsid w:val="00E65AAD"/>
    <w:rsid w:val="00E721B1"/>
    <w:rsid w:val="00E73282"/>
    <w:rsid w:val="00E77997"/>
    <w:rsid w:val="00E80599"/>
    <w:rsid w:val="00E8082B"/>
    <w:rsid w:val="00E80CE3"/>
    <w:rsid w:val="00E8297E"/>
    <w:rsid w:val="00E8409F"/>
    <w:rsid w:val="00E845BC"/>
    <w:rsid w:val="00E85158"/>
    <w:rsid w:val="00E85BAC"/>
    <w:rsid w:val="00E86711"/>
    <w:rsid w:val="00E9376B"/>
    <w:rsid w:val="00E93FEA"/>
    <w:rsid w:val="00E9499F"/>
    <w:rsid w:val="00E97F9D"/>
    <w:rsid w:val="00EA0299"/>
    <w:rsid w:val="00EA20FE"/>
    <w:rsid w:val="00EA35B0"/>
    <w:rsid w:val="00EA4FFC"/>
    <w:rsid w:val="00EB2878"/>
    <w:rsid w:val="00EC0DC6"/>
    <w:rsid w:val="00EC2CD5"/>
    <w:rsid w:val="00ED02B3"/>
    <w:rsid w:val="00ED08D5"/>
    <w:rsid w:val="00ED21A0"/>
    <w:rsid w:val="00ED423E"/>
    <w:rsid w:val="00ED55E8"/>
    <w:rsid w:val="00ED619A"/>
    <w:rsid w:val="00ED71CF"/>
    <w:rsid w:val="00EE1794"/>
    <w:rsid w:val="00EE560F"/>
    <w:rsid w:val="00EE7881"/>
    <w:rsid w:val="00EF14CC"/>
    <w:rsid w:val="00EF2ACC"/>
    <w:rsid w:val="00EF3F01"/>
    <w:rsid w:val="00EF5458"/>
    <w:rsid w:val="00EF5CC3"/>
    <w:rsid w:val="00EF6018"/>
    <w:rsid w:val="00EF6395"/>
    <w:rsid w:val="00F009F4"/>
    <w:rsid w:val="00F019FC"/>
    <w:rsid w:val="00F01FAD"/>
    <w:rsid w:val="00F02C74"/>
    <w:rsid w:val="00F0350D"/>
    <w:rsid w:val="00F04B49"/>
    <w:rsid w:val="00F05FFB"/>
    <w:rsid w:val="00F0681D"/>
    <w:rsid w:val="00F075B9"/>
    <w:rsid w:val="00F10081"/>
    <w:rsid w:val="00F1074F"/>
    <w:rsid w:val="00F107A4"/>
    <w:rsid w:val="00F11ECA"/>
    <w:rsid w:val="00F137D1"/>
    <w:rsid w:val="00F160D7"/>
    <w:rsid w:val="00F20259"/>
    <w:rsid w:val="00F2097A"/>
    <w:rsid w:val="00F229A3"/>
    <w:rsid w:val="00F2760E"/>
    <w:rsid w:val="00F27EC5"/>
    <w:rsid w:val="00F323AA"/>
    <w:rsid w:val="00F3257A"/>
    <w:rsid w:val="00F32794"/>
    <w:rsid w:val="00F34E60"/>
    <w:rsid w:val="00F359FE"/>
    <w:rsid w:val="00F42039"/>
    <w:rsid w:val="00F42D3F"/>
    <w:rsid w:val="00F47C46"/>
    <w:rsid w:val="00F5155A"/>
    <w:rsid w:val="00F53E43"/>
    <w:rsid w:val="00F54E8F"/>
    <w:rsid w:val="00F5531E"/>
    <w:rsid w:val="00F555FD"/>
    <w:rsid w:val="00F560F8"/>
    <w:rsid w:val="00F607CD"/>
    <w:rsid w:val="00F6135A"/>
    <w:rsid w:val="00F634AE"/>
    <w:rsid w:val="00F642C8"/>
    <w:rsid w:val="00F71374"/>
    <w:rsid w:val="00F73336"/>
    <w:rsid w:val="00F749DC"/>
    <w:rsid w:val="00F76684"/>
    <w:rsid w:val="00F77195"/>
    <w:rsid w:val="00F80A66"/>
    <w:rsid w:val="00F8574C"/>
    <w:rsid w:val="00F85E21"/>
    <w:rsid w:val="00F87881"/>
    <w:rsid w:val="00F87947"/>
    <w:rsid w:val="00FA0871"/>
    <w:rsid w:val="00FA3044"/>
    <w:rsid w:val="00FA3F03"/>
    <w:rsid w:val="00FB2FA7"/>
    <w:rsid w:val="00FB3AF7"/>
    <w:rsid w:val="00FB5533"/>
    <w:rsid w:val="00FB5C33"/>
    <w:rsid w:val="00FB61D9"/>
    <w:rsid w:val="00FB61FC"/>
    <w:rsid w:val="00FB7491"/>
    <w:rsid w:val="00FC030B"/>
    <w:rsid w:val="00FC24E2"/>
    <w:rsid w:val="00FC31D9"/>
    <w:rsid w:val="00FD005C"/>
    <w:rsid w:val="00FD1168"/>
    <w:rsid w:val="00FD234F"/>
    <w:rsid w:val="00FD2695"/>
    <w:rsid w:val="00FD26E7"/>
    <w:rsid w:val="00FD33E0"/>
    <w:rsid w:val="00FD43F3"/>
    <w:rsid w:val="00FD5F6F"/>
    <w:rsid w:val="00FE044D"/>
    <w:rsid w:val="00FE20ED"/>
    <w:rsid w:val="00FE3007"/>
    <w:rsid w:val="00FE5007"/>
    <w:rsid w:val="00FE50AE"/>
    <w:rsid w:val="00FE703E"/>
    <w:rsid w:val="00FF4B0E"/>
    <w:rsid w:val="00FF643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FA60A017-BCC1-4904-823D-EE752CBD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52"/>
    <w:rPr>
      <w:rFonts w:ascii="Verdana" w:hAnsi="Verdana"/>
      <w:sz w:val="19"/>
    </w:rPr>
  </w:style>
  <w:style w:type="paragraph" w:styleId="Titre1">
    <w:name w:val="heading 1"/>
    <w:aliases w:val="Document DCE"/>
    <w:basedOn w:val="Normal"/>
    <w:next w:val="Normal"/>
    <w:link w:val="Titre1Car"/>
    <w:qFormat/>
    <w:rsid w:val="00D81C9B"/>
    <w:pPr>
      <w:keepNext/>
      <w:keepLines/>
      <w:spacing w:before="480" w:after="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nhideWhenUsed/>
    <w:qFormat/>
    <w:rsid w:val="00ED71CF"/>
    <w:pPr>
      <w:keepNext/>
      <w:keepLines/>
      <w:spacing w:before="120" w:after="180" w:line="240" w:lineRule="auto"/>
      <w:outlineLvl w:val="1"/>
    </w:pPr>
    <w:rPr>
      <w:rFonts w:eastAsia="Times New Roman" w:cs="Times New Roman"/>
      <w:b/>
      <w:bCs/>
      <w:caps/>
      <w:color w:val="000000" w:themeColor="text1"/>
      <w:sz w:val="24"/>
      <w:szCs w:val="26"/>
    </w:rPr>
  </w:style>
  <w:style w:type="paragraph" w:styleId="Titre3">
    <w:name w:val="heading 3"/>
    <w:aliases w:val="Titre 3 Car Car,M-Titre 3,Titre trois,T3,CHAP3,Titre 3 Car1"/>
    <w:basedOn w:val="Normal"/>
    <w:next w:val="Normal"/>
    <w:link w:val="Titre3Car"/>
    <w:unhideWhenUsed/>
    <w:qFormat/>
    <w:rsid w:val="00AF25A1"/>
    <w:pPr>
      <w:keepNext/>
      <w:keepLines/>
      <w:spacing w:before="200" w:after="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line="240" w:lineRule="auto"/>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nhideWhenUsed/>
    <w:qFormat/>
    <w:rsid w:val="00163402"/>
    <w:pPr>
      <w:keepNext/>
      <w:keepLines/>
      <w:spacing w:after="120" w:line="240" w:lineRule="auto"/>
      <w:ind w:left="1134"/>
      <w:outlineLvl w:val="4"/>
    </w:pPr>
    <w:rPr>
      <w:rFonts w:eastAsia="Times New Roman" w:cs="Times New Roman"/>
      <w:b/>
      <w:color w:val="000000" w:themeColor="text1"/>
    </w:rPr>
  </w:style>
  <w:style w:type="paragraph" w:styleId="Titre6">
    <w:name w:val="heading 6"/>
    <w:basedOn w:val="Normal"/>
    <w:next w:val="Normal"/>
    <w:link w:val="Titre6Car"/>
    <w:uiPriority w:val="9"/>
    <w:unhideWhenUsed/>
    <w:qFormat/>
    <w:rsid w:val="00AF25A1"/>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unhideWhenUsed/>
    <w:qFormat/>
    <w:rsid w:val="00AF25A1"/>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unhideWhenUsed/>
    <w:qFormat/>
    <w:rsid w:val="00AF25A1"/>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aliases w:val="Titre 3 Car Car Car,M-Titre 3 Car,Titre trois Car,T3 Car,CHAP3 Car,Titre 3 Car1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pPr>
      <w:spacing w:line="240" w:lineRule="auto"/>
    </w:pPr>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uiPriority w:val="1"/>
    <w:qFormat/>
    <w:rsid w:val="00AF25A1"/>
    <w:pPr>
      <w:spacing w:after="0" w:line="240" w:lineRule="auto"/>
    </w:pPr>
  </w:style>
  <w:style w:type="paragraph" w:styleId="Paragraphedeliste">
    <w:name w:val="List Paragraph"/>
    <w:basedOn w:val="Normal"/>
    <w:link w:val="ParagraphedelisteCar"/>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line="240" w:lineRule="auto"/>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rsid w:val="0034503F"/>
    <w:rPr>
      <w:sz w:val="16"/>
      <w:szCs w:val="16"/>
    </w:rPr>
  </w:style>
  <w:style w:type="paragraph" w:styleId="Commentaire">
    <w:name w:val="annotation text"/>
    <w:basedOn w:val="Normal"/>
    <w:link w:val="CommentaireCar"/>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spacing w:after="0" w:line="240" w:lineRule="auto"/>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paragraph" w:customStyle="1" w:styleId="RedTxt">
    <w:name w:val="RedTxt"/>
    <w:basedOn w:val="Normal"/>
    <w:uiPriority w:val="99"/>
    <w:rsid w:val="009A210E"/>
    <w:pPr>
      <w:keepLines/>
      <w:widowControl w:val="0"/>
      <w:autoSpaceDE w:val="0"/>
      <w:autoSpaceDN w:val="0"/>
      <w:adjustRightInd w:val="0"/>
      <w:spacing w:after="0" w:line="240" w:lineRule="auto"/>
    </w:pPr>
    <w:rPr>
      <w:rFonts w:ascii="Arial" w:eastAsia="Times New Roman" w:hAnsi="Arial" w:cs="Arial"/>
      <w:sz w:val="18"/>
      <w:szCs w:val="18"/>
      <w:lang w:eastAsia="fr-FR"/>
    </w:rPr>
  </w:style>
  <w:style w:type="character" w:customStyle="1" w:styleId="Mentionnonrsolue1">
    <w:name w:val="Mention non résolue1"/>
    <w:basedOn w:val="Policepardfaut"/>
    <w:uiPriority w:val="99"/>
    <w:semiHidden/>
    <w:unhideWhenUsed/>
    <w:rsid w:val="00C26876"/>
    <w:rPr>
      <w:color w:val="605E5C"/>
      <w:shd w:val="clear" w:color="auto" w:fill="E1DFDD"/>
    </w:rPr>
  </w:style>
  <w:style w:type="character" w:styleId="Lienhypertextesuivivisit">
    <w:name w:val="FollowedHyperlink"/>
    <w:basedOn w:val="Policepardfaut"/>
    <w:uiPriority w:val="99"/>
    <w:semiHidden/>
    <w:unhideWhenUsed/>
    <w:rsid w:val="00C26876"/>
    <w:rPr>
      <w:color w:val="800080" w:themeColor="followedHyperlink"/>
      <w:u w:val="single"/>
    </w:rPr>
  </w:style>
  <w:style w:type="paragraph" w:customStyle="1" w:styleId="summaryitem">
    <w:name w:val="summary__item"/>
    <w:basedOn w:val="Normal"/>
    <w:rsid w:val="005856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8F40CB"/>
    <w:rPr>
      <w:rFonts w:ascii="Verdana" w:hAnsi="Verdana"/>
      <w:sz w:val="19"/>
    </w:rPr>
  </w:style>
  <w:style w:type="paragraph" w:customStyle="1" w:styleId="texte">
    <w:name w:val="_texte"/>
    <w:basedOn w:val="Normal"/>
    <w:rsid w:val="0069110C"/>
    <w:pPr>
      <w:widowControl w:val="0"/>
      <w:suppressAutoHyphens/>
      <w:overflowPunct w:val="0"/>
      <w:autoSpaceDE w:val="0"/>
      <w:autoSpaceDN w:val="0"/>
      <w:adjustRightInd w:val="0"/>
      <w:spacing w:before="120" w:after="120" w:line="240" w:lineRule="auto"/>
      <w:jc w:val="both"/>
    </w:pPr>
    <w:rPr>
      <w:rFonts w:ascii="Times New Roman" w:eastAsia="Times New Roman" w:hAnsi="Times New Roman" w:cs="Times New Roman"/>
      <w:kern w:val="2"/>
      <w:sz w:val="24"/>
      <w:szCs w:val="20"/>
      <w:lang w:eastAsia="fr-FR"/>
    </w:rPr>
  </w:style>
  <w:style w:type="paragraph" w:customStyle="1" w:styleId="Date1">
    <w:name w:val="Date1"/>
    <w:basedOn w:val="Normal"/>
    <w:rsid w:val="000347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9791">
      <w:bodyDiv w:val="1"/>
      <w:marLeft w:val="0"/>
      <w:marRight w:val="0"/>
      <w:marTop w:val="0"/>
      <w:marBottom w:val="0"/>
      <w:divBdr>
        <w:top w:val="none" w:sz="0" w:space="0" w:color="auto"/>
        <w:left w:val="none" w:sz="0" w:space="0" w:color="auto"/>
        <w:bottom w:val="none" w:sz="0" w:space="0" w:color="auto"/>
        <w:right w:val="none" w:sz="0" w:space="0" w:color="auto"/>
      </w:divBdr>
      <w:divsChild>
        <w:div w:id="612565344">
          <w:marLeft w:val="0"/>
          <w:marRight w:val="0"/>
          <w:marTop w:val="525"/>
          <w:marBottom w:val="525"/>
          <w:divBdr>
            <w:top w:val="none" w:sz="0" w:space="0" w:color="auto"/>
            <w:left w:val="none" w:sz="0" w:space="0" w:color="auto"/>
            <w:bottom w:val="none" w:sz="0" w:space="0" w:color="auto"/>
            <w:right w:val="none" w:sz="0" w:space="0" w:color="auto"/>
          </w:divBdr>
          <w:divsChild>
            <w:div w:id="524247354">
              <w:marLeft w:val="0"/>
              <w:marRight w:val="0"/>
              <w:marTop w:val="150"/>
              <w:marBottom w:val="0"/>
              <w:divBdr>
                <w:top w:val="none" w:sz="0" w:space="0" w:color="auto"/>
                <w:left w:val="none" w:sz="0" w:space="0" w:color="auto"/>
                <w:bottom w:val="none" w:sz="0" w:space="0" w:color="auto"/>
                <w:right w:val="none" w:sz="0" w:space="0" w:color="auto"/>
              </w:divBdr>
            </w:div>
          </w:divsChild>
        </w:div>
        <w:div w:id="1336149870">
          <w:marLeft w:val="0"/>
          <w:marRight w:val="0"/>
          <w:marTop w:val="525"/>
          <w:marBottom w:val="525"/>
          <w:divBdr>
            <w:top w:val="none" w:sz="0" w:space="0" w:color="auto"/>
            <w:left w:val="none" w:sz="0" w:space="0" w:color="auto"/>
            <w:bottom w:val="none" w:sz="0" w:space="0" w:color="auto"/>
            <w:right w:val="none" w:sz="0" w:space="0" w:color="auto"/>
          </w:divBdr>
          <w:divsChild>
            <w:div w:id="1117526465">
              <w:marLeft w:val="0"/>
              <w:marRight w:val="0"/>
              <w:marTop w:val="0"/>
              <w:marBottom w:val="150"/>
              <w:divBdr>
                <w:top w:val="none" w:sz="0" w:space="0" w:color="auto"/>
                <w:left w:val="none" w:sz="0" w:space="0" w:color="auto"/>
                <w:bottom w:val="none" w:sz="0" w:space="0" w:color="auto"/>
                <w:right w:val="none" w:sz="0" w:space="0" w:color="auto"/>
              </w:divBdr>
            </w:div>
            <w:div w:id="271481490">
              <w:marLeft w:val="0"/>
              <w:marRight w:val="0"/>
              <w:marTop w:val="150"/>
              <w:marBottom w:val="0"/>
              <w:divBdr>
                <w:top w:val="none" w:sz="0" w:space="0" w:color="auto"/>
                <w:left w:val="none" w:sz="0" w:space="0" w:color="auto"/>
                <w:bottom w:val="none" w:sz="0" w:space="0" w:color="auto"/>
                <w:right w:val="none" w:sz="0" w:space="0" w:color="auto"/>
              </w:divBdr>
            </w:div>
          </w:divsChild>
        </w:div>
        <w:div w:id="659189477">
          <w:marLeft w:val="0"/>
          <w:marRight w:val="0"/>
          <w:marTop w:val="525"/>
          <w:marBottom w:val="525"/>
          <w:divBdr>
            <w:top w:val="none" w:sz="0" w:space="0" w:color="auto"/>
            <w:left w:val="none" w:sz="0" w:space="0" w:color="auto"/>
            <w:bottom w:val="none" w:sz="0" w:space="0" w:color="auto"/>
            <w:right w:val="none" w:sz="0" w:space="0" w:color="auto"/>
          </w:divBdr>
          <w:divsChild>
            <w:div w:id="211769587">
              <w:marLeft w:val="0"/>
              <w:marRight w:val="0"/>
              <w:marTop w:val="0"/>
              <w:marBottom w:val="150"/>
              <w:divBdr>
                <w:top w:val="none" w:sz="0" w:space="0" w:color="auto"/>
                <w:left w:val="none" w:sz="0" w:space="0" w:color="auto"/>
                <w:bottom w:val="none" w:sz="0" w:space="0" w:color="auto"/>
                <w:right w:val="none" w:sz="0" w:space="0" w:color="auto"/>
              </w:divBdr>
            </w:div>
            <w:div w:id="214005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787092">
      <w:bodyDiv w:val="1"/>
      <w:marLeft w:val="0"/>
      <w:marRight w:val="0"/>
      <w:marTop w:val="0"/>
      <w:marBottom w:val="0"/>
      <w:divBdr>
        <w:top w:val="none" w:sz="0" w:space="0" w:color="auto"/>
        <w:left w:val="none" w:sz="0" w:space="0" w:color="auto"/>
        <w:bottom w:val="none" w:sz="0" w:space="0" w:color="auto"/>
        <w:right w:val="none" w:sz="0" w:space="0" w:color="auto"/>
      </w:divBdr>
    </w:div>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301157761">
      <w:bodyDiv w:val="1"/>
      <w:marLeft w:val="0"/>
      <w:marRight w:val="0"/>
      <w:marTop w:val="0"/>
      <w:marBottom w:val="0"/>
      <w:divBdr>
        <w:top w:val="none" w:sz="0" w:space="0" w:color="auto"/>
        <w:left w:val="none" w:sz="0" w:space="0" w:color="auto"/>
        <w:bottom w:val="none" w:sz="0" w:space="0" w:color="auto"/>
        <w:right w:val="none" w:sz="0" w:space="0" w:color="auto"/>
      </w:divBdr>
    </w:div>
    <w:div w:id="416446089">
      <w:bodyDiv w:val="1"/>
      <w:marLeft w:val="0"/>
      <w:marRight w:val="0"/>
      <w:marTop w:val="0"/>
      <w:marBottom w:val="0"/>
      <w:divBdr>
        <w:top w:val="none" w:sz="0" w:space="0" w:color="auto"/>
        <w:left w:val="none" w:sz="0" w:space="0" w:color="auto"/>
        <w:bottom w:val="none" w:sz="0" w:space="0" w:color="auto"/>
        <w:right w:val="none" w:sz="0" w:space="0" w:color="auto"/>
      </w:divBdr>
      <w:divsChild>
        <w:div w:id="163784911">
          <w:marLeft w:val="0"/>
          <w:marRight w:val="0"/>
          <w:marTop w:val="525"/>
          <w:marBottom w:val="525"/>
          <w:divBdr>
            <w:top w:val="none" w:sz="0" w:space="0" w:color="auto"/>
            <w:left w:val="none" w:sz="0" w:space="0" w:color="auto"/>
            <w:bottom w:val="none" w:sz="0" w:space="0" w:color="auto"/>
            <w:right w:val="none" w:sz="0" w:space="0" w:color="auto"/>
          </w:divBdr>
          <w:divsChild>
            <w:div w:id="7410270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34521916">
      <w:bodyDiv w:val="1"/>
      <w:marLeft w:val="0"/>
      <w:marRight w:val="0"/>
      <w:marTop w:val="0"/>
      <w:marBottom w:val="0"/>
      <w:divBdr>
        <w:top w:val="none" w:sz="0" w:space="0" w:color="auto"/>
        <w:left w:val="none" w:sz="0" w:space="0" w:color="auto"/>
        <w:bottom w:val="none" w:sz="0" w:space="0" w:color="auto"/>
        <w:right w:val="none" w:sz="0" w:space="0" w:color="auto"/>
      </w:divBdr>
    </w:div>
    <w:div w:id="49199198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536937020">
      <w:bodyDiv w:val="1"/>
      <w:marLeft w:val="0"/>
      <w:marRight w:val="0"/>
      <w:marTop w:val="0"/>
      <w:marBottom w:val="0"/>
      <w:divBdr>
        <w:top w:val="none" w:sz="0" w:space="0" w:color="auto"/>
        <w:left w:val="none" w:sz="0" w:space="0" w:color="auto"/>
        <w:bottom w:val="none" w:sz="0" w:space="0" w:color="auto"/>
        <w:right w:val="none" w:sz="0" w:space="0" w:color="auto"/>
      </w:divBdr>
    </w:div>
    <w:div w:id="56113968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617026503">
      <w:bodyDiv w:val="1"/>
      <w:marLeft w:val="0"/>
      <w:marRight w:val="0"/>
      <w:marTop w:val="0"/>
      <w:marBottom w:val="0"/>
      <w:divBdr>
        <w:top w:val="none" w:sz="0" w:space="0" w:color="auto"/>
        <w:left w:val="none" w:sz="0" w:space="0" w:color="auto"/>
        <w:bottom w:val="none" w:sz="0" w:space="0" w:color="auto"/>
        <w:right w:val="none" w:sz="0" w:space="0" w:color="auto"/>
      </w:divBdr>
    </w:div>
    <w:div w:id="699282920">
      <w:bodyDiv w:val="1"/>
      <w:marLeft w:val="0"/>
      <w:marRight w:val="0"/>
      <w:marTop w:val="0"/>
      <w:marBottom w:val="0"/>
      <w:divBdr>
        <w:top w:val="none" w:sz="0" w:space="0" w:color="auto"/>
        <w:left w:val="none" w:sz="0" w:space="0" w:color="auto"/>
        <w:bottom w:val="none" w:sz="0" w:space="0" w:color="auto"/>
        <w:right w:val="none" w:sz="0" w:space="0" w:color="auto"/>
      </w:divBdr>
      <w:divsChild>
        <w:div w:id="907956368">
          <w:marLeft w:val="0"/>
          <w:marRight w:val="0"/>
          <w:marTop w:val="0"/>
          <w:marBottom w:val="0"/>
          <w:divBdr>
            <w:top w:val="none" w:sz="0" w:space="0" w:color="auto"/>
            <w:left w:val="none" w:sz="0" w:space="0" w:color="auto"/>
            <w:bottom w:val="none" w:sz="0" w:space="0" w:color="auto"/>
            <w:right w:val="none" w:sz="0" w:space="0" w:color="auto"/>
          </w:divBdr>
        </w:div>
        <w:div w:id="1099910408">
          <w:marLeft w:val="0"/>
          <w:marRight w:val="0"/>
          <w:marTop w:val="0"/>
          <w:marBottom w:val="0"/>
          <w:divBdr>
            <w:top w:val="none" w:sz="0" w:space="0" w:color="auto"/>
            <w:left w:val="none" w:sz="0" w:space="0" w:color="auto"/>
            <w:bottom w:val="none" w:sz="0" w:space="0" w:color="auto"/>
            <w:right w:val="none" w:sz="0" w:space="0" w:color="auto"/>
          </w:divBdr>
        </w:div>
        <w:div w:id="1494449856">
          <w:marLeft w:val="0"/>
          <w:marRight w:val="0"/>
          <w:marTop w:val="0"/>
          <w:marBottom w:val="0"/>
          <w:divBdr>
            <w:top w:val="none" w:sz="0" w:space="0" w:color="auto"/>
            <w:left w:val="none" w:sz="0" w:space="0" w:color="auto"/>
            <w:bottom w:val="none" w:sz="0" w:space="0" w:color="auto"/>
            <w:right w:val="none" w:sz="0" w:space="0" w:color="auto"/>
          </w:divBdr>
        </w:div>
        <w:div w:id="909119834">
          <w:marLeft w:val="0"/>
          <w:marRight w:val="0"/>
          <w:marTop w:val="0"/>
          <w:marBottom w:val="0"/>
          <w:divBdr>
            <w:top w:val="none" w:sz="0" w:space="0" w:color="auto"/>
            <w:left w:val="none" w:sz="0" w:space="0" w:color="auto"/>
            <w:bottom w:val="none" w:sz="0" w:space="0" w:color="auto"/>
            <w:right w:val="none" w:sz="0" w:space="0" w:color="auto"/>
          </w:divBdr>
        </w:div>
      </w:divsChild>
    </w:div>
    <w:div w:id="727916354">
      <w:bodyDiv w:val="1"/>
      <w:marLeft w:val="0"/>
      <w:marRight w:val="0"/>
      <w:marTop w:val="0"/>
      <w:marBottom w:val="0"/>
      <w:divBdr>
        <w:top w:val="none" w:sz="0" w:space="0" w:color="auto"/>
        <w:left w:val="none" w:sz="0" w:space="0" w:color="auto"/>
        <w:bottom w:val="none" w:sz="0" w:space="0" w:color="auto"/>
        <w:right w:val="none" w:sz="0" w:space="0" w:color="auto"/>
      </w:divBdr>
    </w:div>
    <w:div w:id="738021684">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958336669">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023483692">
      <w:bodyDiv w:val="1"/>
      <w:marLeft w:val="0"/>
      <w:marRight w:val="0"/>
      <w:marTop w:val="0"/>
      <w:marBottom w:val="0"/>
      <w:divBdr>
        <w:top w:val="none" w:sz="0" w:space="0" w:color="auto"/>
        <w:left w:val="none" w:sz="0" w:space="0" w:color="auto"/>
        <w:bottom w:val="none" w:sz="0" w:space="0" w:color="auto"/>
        <w:right w:val="none" w:sz="0" w:space="0" w:color="auto"/>
      </w:divBdr>
    </w:div>
    <w:div w:id="1095324844">
      <w:bodyDiv w:val="1"/>
      <w:marLeft w:val="0"/>
      <w:marRight w:val="0"/>
      <w:marTop w:val="0"/>
      <w:marBottom w:val="0"/>
      <w:divBdr>
        <w:top w:val="none" w:sz="0" w:space="0" w:color="auto"/>
        <w:left w:val="none" w:sz="0" w:space="0" w:color="auto"/>
        <w:bottom w:val="none" w:sz="0" w:space="0" w:color="auto"/>
        <w:right w:val="none" w:sz="0" w:space="0" w:color="auto"/>
      </w:divBdr>
    </w:div>
    <w:div w:id="1119493290">
      <w:bodyDiv w:val="1"/>
      <w:marLeft w:val="0"/>
      <w:marRight w:val="0"/>
      <w:marTop w:val="0"/>
      <w:marBottom w:val="0"/>
      <w:divBdr>
        <w:top w:val="none" w:sz="0" w:space="0" w:color="auto"/>
        <w:left w:val="none" w:sz="0" w:space="0" w:color="auto"/>
        <w:bottom w:val="none" w:sz="0" w:space="0" w:color="auto"/>
        <w:right w:val="none" w:sz="0" w:space="0" w:color="auto"/>
      </w:divBdr>
    </w:div>
    <w:div w:id="1131636726">
      <w:bodyDiv w:val="1"/>
      <w:marLeft w:val="0"/>
      <w:marRight w:val="0"/>
      <w:marTop w:val="0"/>
      <w:marBottom w:val="0"/>
      <w:divBdr>
        <w:top w:val="none" w:sz="0" w:space="0" w:color="auto"/>
        <w:left w:val="none" w:sz="0" w:space="0" w:color="auto"/>
        <w:bottom w:val="none" w:sz="0" w:space="0" w:color="auto"/>
        <w:right w:val="none" w:sz="0" w:space="0" w:color="auto"/>
      </w:divBdr>
      <w:divsChild>
        <w:div w:id="117064880">
          <w:marLeft w:val="0"/>
          <w:marRight w:val="0"/>
          <w:marTop w:val="525"/>
          <w:marBottom w:val="525"/>
          <w:divBdr>
            <w:top w:val="none" w:sz="0" w:space="0" w:color="auto"/>
            <w:left w:val="none" w:sz="0" w:space="0" w:color="auto"/>
            <w:bottom w:val="none" w:sz="0" w:space="0" w:color="auto"/>
            <w:right w:val="none" w:sz="0" w:space="0" w:color="auto"/>
          </w:divBdr>
          <w:divsChild>
            <w:div w:id="856044366">
              <w:marLeft w:val="0"/>
              <w:marRight w:val="0"/>
              <w:marTop w:val="0"/>
              <w:marBottom w:val="150"/>
              <w:divBdr>
                <w:top w:val="none" w:sz="0" w:space="0" w:color="auto"/>
                <w:left w:val="none" w:sz="0" w:space="0" w:color="auto"/>
                <w:bottom w:val="none" w:sz="0" w:space="0" w:color="auto"/>
                <w:right w:val="none" w:sz="0" w:space="0" w:color="auto"/>
              </w:divBdr>
            </w:div>
            <w:div w:id="1554270633">
              <w:marLeft w:val="0"/>
              <w:marRight w:val="0"/>
              <w:marTop w:val="150"/>
              <w:marBottom w:val="0"/>
              <w:divBdr>
                <w:top w:val="none" w:sz="0" w:space="0" w:color="auto"/>
                <w:left w:val="none" w:sz="0" w:space="0" w:color="auto"/>
                <w:bottom w:val="none" w:sz="0" w:space="0" w:color="auto"/>
                <w:right w:val="none" w:sz="0" w:space="0" w:color="auto"/>
              </w:divBdr>
            </w:div>
          </w:divsChild>
        </w:div>
        <w:div w:id="89395977">
          <w:marLeft w:val="0"/>
          <w:marRight w:val="0"/>
          <w:marTop w:val="525"/>
          <w:marBottom w:val="525"/>
          <w:divBdr>
            <w:top w:val="none" w:sz="0" w:space="0" w:color="auto"/>
            <w:left w:val="none" w:sz="0" w:space="0" w:color="auto"/>
            <w:bottom w:val="none" w:sz="0" w:space="0" w:color="auto"/>
            <w:right w:val="none" w:sz="0" w:space="0" w:color="auto"/>
          </w:divBdr>
          <w:divsChild>
            <w:div w:id="736588738">
              <w:marLeft w:val="0"/>
              <w:marRight w:val="0"/>
              <w:marTop w:val="0"/>
              <w:marBottom w:val="150"/>
              <w:divBdr>
                <w:top w:val="none" w:sz="0" w:space="0" w:color="auto"/>
                <w:left w:val="none" w:sz="0" w:space="0" w:color="auto"/>
                <w:bottom w:val="none" w:sz="0" w:space="0" w:color="auto"/>
                <w:right w:val="none" w:sz="0" w:space="0" w:color="auto"/>
              </w:divBdr>
            </w:div>
            <w:div w:id="20507618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7015154">
      <w:bodyDiv w:val="1"/>
      <w:marLeft w:val="0"/>
      <w:marRight w:val="0"/>
      <w:marTop w:val="0"/>
      <w:marBottom w:val="0"/>
      <w:divBdr>
        <w:top w:val="none" w:sz="0" w:space="0" w:color="auto"/>
        <w:left w:val="none" w:sz="0" w:space="0" w:color="auto"/>
        <w:bottom w:val="none" w:sz="0" w:space="0" w:color="auto"/>
        <w:right w:val="none" w:sz="0" w:space="0" w:color="auto"/>
      </w:divBdr>
    </w:div>
    <w:div w:id="1156453413">
      <w:bodyDiv w:val="1"/>
      <w:marLeft w:val="0"/>
      <w:marRight w:val="0"/>
      <w:marTop w:val="0"/>
      <w:marBottom w:val="0"/>
      <w:divBdr>
        <w:top w:val="none" w:sz="0" w:space="0" w:color="auto"/>
        <w:left w:val="none" w:sz="0" w:space="0" w:color="auto"/>
        <w:bottom w:val="none" w:sz="0" w:space="0" w:color="auto"/>
        <w:right w:val="none" w:sz="0" w:space="0" w:color="auto"/>
      </w:divBdr>
      <w:divsChild>
        <w:div w:id="981428410">
          <w:marLeft w:val="0"/>
          <w:marRight w:val="0"/>
          <w:marTop w:val="0"/>
          <w:marBottom w:val="0"/>
          <w:divBdr>
            <w:top w:val="none" w:sz="0" w:space="0" w:color="auto"/>
            <w:left w:val="none" w:sz="0" w:space="0" w:color="auto"/>
            <w:bottom w:val="none" w:sz="0" w:space="0" w:color="auto"/>
            <w:right w:val="none" w:sz="0" w:space="0" w:color="auto"/>
          </w:divBdr>
        </w:div>
        <w:div w:id="1093476952">
          <w:marLeft w:val="0"/>
          <w:marRight w:val="0"/>
          <w:marTop w:val="0"/>
          <w:marBottom w:val="0"/>
          <w:divBdr>
            <w:top w:val="none" w:sz="0" w:space="0" w:color="auto"/>
            <w:left w:val="none" w:sz="0" w:space="0" w:color="auto"/>
            <w:bottom w:val="none" w:sz="0" w:space="0" w:color="auto"/>
            <w:right w:val="none" w:sz="0" w:space="0" w:color="auto"/>
          </w:divBdr>
        </w:div>
        <w:div w:id="704063477">
          <w:marLeft w:val="0"/>
          <w:marRight w:val="0"/>
          <w:marTop w:val="0"/>
          <w:marBottom w:val="0"/>
          <w:divBdr>
            <w:top w:val="none" w:sz="0" w:space="0" w:color="auto"/>
            <w:left w:val="none" w:sz="0" w:space="0" w:color="auto"/>
            <w:bottom w:val="none" w:sz="0" w:space="0" w:color="auto"/>
            <w:right w:val="none" w:sz="0" w:space="0" w:color="auto"/>
          </w:divBdr>
        </w:div>
        <w:div w:id="1776368686">
          <w:marLeft w:val="0"/>
          <w:marRight w:val="0"/>
          <w:marTop w:val="0"/>
          <w:marBottom w:val="0"/>
          <w:divBdr>
            <w:top w:val="none" w:sz="0" w:space="0" w:color="auto"/>
            <w:left w:val="none" w:sz="0" w:space="0" w:color="auto"/>
            <w:bottom w:val="none" w:sz="0" w:space="0" w:color="auto"/>
            <w:right w:val="none" w:sz="0" w:space="0" w:color="auto"/>
          </w:divBdr>
        </w:div>
      </w:divsChild>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247613889">
      <w:bodyDiv w:val="1"/>
      <w:marLeft w:val="0"/>
      <w:marRight w:val="0"/>
      <w:marTop w:val="0"/>
      <w:marBottom w:val="0"/>
      <w:divBdr>
        <w:top w:val="none" w:sz="0" w:space="0" w:color="auto"/>
        <w:left w:val="none" w:sz="0" w:space="0" w:color="auto"/>
        <w:bottom w:val="none" w:sz="0" w:space="0" w:color="auto"/>
        <w:right w:val="none" w:sz="0" w:space="0" w:color="auto"/>
      </w:divBdr>
    </w:div>
    <w:div w:id="1299841365">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527670601">
      <w:bodyDiv w:val="1"/>
      <w:marLeft w:val="0"/>
      <w:marRight w:val="0"/>
      <w:marTop w:val="0"/>
      <w:marBottom w:val="0"/>
      <w:divBdr>
        <w:top w:val="none" w:sz="0" w:space="0" w:color="auto"/>
        <w:left w:val="none" w:sz="0" w:space="0" w:color="auto"/>
        <w:bottom w:val="none" w:sz="0" w:space="0" w:color="auto"/>
        <w:right w:val="none" w:sz="0" w:space="0" w:color="auto"/>
      </w:divBdr>
    </w:div>
    <w:div w:id="1586256040">
      <w:bodyDiv w:val="1"/>
      <w:marLeft w:val="0"/>
      <w:marRight w:val="0"/>
      <w:marTop w:val="0"/>
      <w:marBottom w:val="0"/>
      <w:divBdr>
        <w:top w:val="none" w:sz="0" w:space="0" w:color="auto"/>
        <w:left w:val="none" w:sz="0" w:space="0" w:color="auto"/>
        <w:bottom w:val="none" w:sz="0" w:space="0" w:color="auto"/>
        <w:right w:val="none" w:sz="0" w:space="0" w:color="auto"/>
      </w:divBdr>
      <w:divsChild>
        <w:div w:id="12221986">
          <w:marLeft w:val="0"/>
          <w:marRight w:val="0"/>
          <w:marTop w:val="0"/>
          <w:marBottom w:val="150"/>
          <w:divBdr>
            <w:top w:val="none" w:sz="0" w:space="0" w:color="auto"/>
            <w:left w:val="none" w:sz="0" w:space="0" w:color="auto"/>
            <w:bottom w:val="none" w:sz="0" w:space="0" w:color="auto"/>
            <w:right w:val="none" w:sz="0" w:space="0" w:color="auto"/>
          </w:divBdr>
        </w:div>
        <w:div w:id="266427174">
          <w:marLeft w:val="0"/>
          <w:marRight w:val="0"/>
          <w:marTop w:val="150"/>
          <w:marBottom w:val="0"/>
          <w:divBdr>
            <w:top w:val="none" w:sz="0" w:space="0" w:color="auto"/>
            <w:left w:val="none" w:sz="0" w:space="0" w:color="auto"/>
            <w:bottom w:val="none" w:sz="0" w:space="0" w:color="auto"/>
            <w:right w:val="none" w:sz="0" w:space="0" w:color="auto"/>
          </w:divBdr>
        </w:div>
      </w:divsChild>
    </w:div>
    <w:div w:id="1617172925">
      <w:bodyDiv w:val="1"/>
      <w:marLeft w:val="0"/>
      <w:marRight w:val="0"/>
      <w:marTop w:val="0"/>
      <w:marBottom w:val="0"/>
      <w:divBdr>
        <w:top w:val="none" w:sz="0" w:space="0" w:color="auto"/>
        <w:left w:val="none" w:sz="0" w:space="0" w:color="auto"/>
        <w:bottom w:val="none" w:sz="0" w:space="0" w:color="auto"/>
        <w:right w:val="none" w:sz="0" w:space="0" w:color="auto"/>
      </w:divBdr>
      <w:divsChild>
        <w:div w:id="1775051072">
          <w:marLeft w:val="0"/>
          <w:marRight w:val="0"/>
          <w:marTop w:val="0"/>
          <w:marBottom w:val="150"/>
          <w:divBdr>
            <w:top w:val="none" w:sz="0" w:space="0" w:color="auto"/>
            <w:left w:val="none" w:sz="0" w:space="0" w:color="auto"/>
            <w:bottom w:val="none" w:sz="0" w:space="0" w:color="auto"/>
            <w:right w:val="none" w:sz="0" w:space="0" w:color="auto"/>
          </w:divBdr>
        </w:div>
        <w:div w:id="572661694">
          <w:marLeft w:val="0"/>
          <w:marRight w:val="0"/>
          <w:marTop w:val="150"/>
          <w:marBottom w:val="0"/>
          <w:divBdr>
            <w:top w:val="none" w:sz="0" w:space="0" w:color="auto"/>
            <w:left w:val="none" w:sz="0" w:space="0" w:color="auto"/>
            <w:bottom w:val="none" w:sz="0" w:space="0" w:color="auto"/>
            <w:right w:val="none" w:sz="0" w:space="0" w:color="auto"/>
          </w:divBdr>
        </w:div>
      </w:divsChild>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24985141">
      <w:bodyDiv w:val="1"/>
      <w:marLeft w:val="0"/>
      <w:marRight w:val="0"/>
      <w:marTop w:val="0"/>
      <w:marBottom w:val="0"/>
      <w:divBdr>
        <w:top w:val="none" w:sz="0" w:space="0" w:color="auto"/>
        <w:left w:val="none" w:sz="0" w:space="0" w:color="auto"/>
        <w:bottom w:val="none" w:sz="0" w:space="0" w:color="auto"/>
        <w:right w:val="none" w:sz="0" w:space="0" w:color="auto"/>
      </w:divBdr>
    </w:div>
    <w:div w:id="1758941225">
      <w:bodyDiv w:val="1"/>
      <w:marLeft w:val="0"/>
      <w:marRight w:val="0"/>
      <w:marTop w:val="0"/>
      <w:marBottom w:val="0"/>
      <w:divBdr>
        <w:top w:val="none" w:sz="0" w:space="0" w:color="auto"/>
        <w:left w:val="none" w:sz="0" w:space="0" w:color="auto"/>
        <w:bottom w:val="none" w:sz="0" w:space="0" w:color="auto"/>
        <w:right w:val="none" w:sz="0" w:space="0" w:color="auto"/>
      </w:divBdr>
    </w:div>
    <w:div w:id="1764498837">
      <w:bodyDiv w:val="1"/>
      <w:marLeft w:val="0"/>
      <w:marRight w:val="0"/>
      <w:marTop w:val="0"/>
      <w:marBottom w:val="0"/>
      <w:divBdr>
        <w:top w:val="none" w:sz="0" w:space="0" w:color="auto"/>
        <w:left w:val="none" w:sz="0" w:space="0" w:color="auto"/>
        <w:bottom w:val="none" w:sz="0" w:space="0" w:color="auto"/>
        <w:right w:val="none" w:sz="0" w:space="0" w:color="auto"/>
      </w:divBdr>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905487477">
      <w:bodyDiv w:val="1"/>
      <w:marLeft w:val="0"/>
      <w:marRight w:val="0"/>
      <w:marTop w:val="0"/>
      <w:marBottom w:val="0"/>
      <w:divBdr>
        <w:top w:val="none" w:sz="0" w:space="0" w:color="auto"/>
        <w:left w:val="none" w:sz="0" w:space="0" w:color="auto"/>
        <w:bottom w:val="none" w:sz="0" w:space="0" w:color="auto"/>
        <w:right w:val="none" w:sz="0" w:space="0" w:color="auto"/>
      </w:divBdr>
      <w:divsChild>
        <w:div w:id="1085764983">
          <w:marLeft w:val="0"/>
          <w:marRight w:val="0"/>
          <w:marTop w:val="525"/>
          <w:marBottom w:val="525"/>
          <w:divBdr>
            <w:top w:val="none" w:sz="0" w:space="0" w:color="auto"/>
            <w:left w:val="none" w:sz="0" w:space="0" w:color="auto"/>
            <w:bottom w:val="none" w:sz="0" w:space="0" w:color="auto"/>
            <w:right w:val="none" w:sz="0" w:space="0" w:color="auto"/>
          </w:divBdr>
          <w:divsChild>
            <w:div w:id="1366247869">
              <w:marLeft w:val="0"/>
              <w:marRight w:val="0"/>
              <w:marTop w:val="0"/>
              <w:marBottom w:val="150"/>
              <w:divBdr>
                <w:top w:val="none" w:sz="0" w:space="0" w:color="auto"/>
                <w:left w:val="none" w:sz="0" w:space="0" w:color="auto"/>
                <w:bottom w:val="none" w:sz="0" w:space="0" w:color="auto"/>
                <w:right w:val="none" w:sz="0" w:space="0" w:color="auto"/>
              </w:divBdr>
            </w:div>
            <w:div w:id="12612257">
              <w:marLeft w:val="0"/>
              <w:marRight w:val="0"/>
              <w:marTop w:val="150"/>
              <w:marBottom w:val="0"/>
              <w:divBdr>
                <w:top w:val="none" w:sz="0" w:space="0" w:color="auto"/>
                <w:left w:val="none" w:sz="0" w:space="0" w:color="auto"/>
                <w:bottom w:val="none" w:sz="0" w:space="0" w:color="auto"/>
                <w:right w:val="none" w:sz="0" w:space="0" w:color="auto"/>
              </w:divBdr>
            </w:div>
          </w:divsChild>
        </w:div>
        <w:div w:id="565262346">
          <w:marLeft w:val="0"/>
          <w:marRight w:val="0"/>
          <w:marTop w:val="525"/>
          <w:marBottom w:val="525"/>
          <w:divBdr>
            <w:top w:val="none" w:sz="0" w:space="0" w:color="auto"/>
            <w:left w:val="none" w:sz="0" w:space="0" w:color="auto"/>
            <w:bottom w:val="none" w:sz="0" w:space="0" w:color="auto"/>
            <w:right w:val="none" w:sz="0" w:space="0" w:color="auto"/>
          </w:divBdr>
          <w:divsChild>
            <w:div w:id="214463829">
              <w:marLeft w:val="0"/>
              <w:marRight w:val="0"/>
              <w:marTop w:val="0"/>
              <w:marBottom w:val="150"/>
              <w:divBdr>
                <w:top w:val="none" w:sz="0" w:space="0" w:color="auto"/>
                <w:left w:val="none" w:sz="0" w:space="0" w:color="auto"/>
                <w:bottom w:val="none" w:sz="0" w:space="0" w:color="auto"/>
                <w:right w:val="none" w:sz="0" w:space="0" w:color="auto"/>
              </w:divBdr>
            </w:div>
            <w:div w:id="1960259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 w:id="1984777122">
      <w:bodyDiv w:val="1"/>
      <w:marLeft w:val="0"/>
      <w:marRight w:val="0"/>
      <w:marTop w:val="0"/>
      <w:marBottom w:val="0"/>
      <w:divBdr>
        <w:top w:val="none" w:sz="0" w:space="0" w:color="auto"/>
        <w:left w:val="none" w:sz="0" w:space="0" w:color="auto"/>
        <w:bottom w:val="none" w:sz="0" w:space="0" w:color="auto"/>
        <w:right w:val="none" w:sz="0" w:space="0" w:color="auto"/>
      </w:divBdr>
      <w:divsChild>
        <w:div w:id="542599909">
          <w:marLeft w:val="0"/>
          <w:marRight w:val="0"/>
          <w:marTop w:val="0"/>
          <w:marBottom w:val="150"/>
          <w:divBdr>
            <w:top w:val="none" w:sz="0" w:space="0" w:color="auto"/>
            <w:left w:val="none" w:sz="0" w:space="0" w:color="auto"/>
            <w:bottom w:val="none" w:sz="0" w:space="0" w:color="auto"/>
            <w:right w:val="none" w:sz="0" w:space="0" w:color="auto"/>
          </w:divBdr>
        </w:div>
        <w:div w:id="1865509225">
          <w:marLeft w:val="0"/>
          <w:marRight w:val="0"/>
          <w:marTop w:val="150"/>
          <w:marBottom w:val="0"/>
          <w:divBdr>
            <w:top w:val="none" w:sz="0" w:space="0" w:color="auto"/>
            <w:left w:val="none" w:sz="0" w:space="0" w:color="auto"/>
            <w:bottom w:val="none" w:sz="0" w:space="0" w:color="auto"/>
            <w:right w:val="none" w:sz="0" w:space="0" w:color="auto"/>
          </w:divBdr>
        </w:div>
      </w:divsChild>
    </w:div>
    <w:div w:id="2041121423">
      <w:bodyDiv w:val="1"/>
      <w:marLeft w:val="0"/>
      <w:marRight w:val="0"/>
      <w:marTop w:val="0"/>
      <w:marBottom w:val="0"/>
      <w:divBdr>
        <w:top w:val="none" w:sz="0" w:space="0" w:color="auto"/>
        <w:left w:val="none" w:sz="0" w:space="0" w:color="auto"/>
        <w:bottom w:val="none" w:sz="0" w:space="0" w:color="auto"/>
        <w:right w:val="none" w:sz="0" w:space="0" w:color="auto"/>
      </w:divBdr>
      <w:divsChild>
        <w:div w:id="1765690261">
          <w:marLeft w:val="0"/>
          <w:marRight w:val="0"/>
          <w:marTop w:val="0"/>
          <w:marBottom w:val="150"/>
          <w:divBdr>
            <w:top w:val="none" w:sz="0" w:space="0" w:color="auto"/>
            <w:left w:val="none" w:sz="0" w:space="0" w:color="auto"/>
            <w:bottom w:val="none" w:sz="0" w:space="0" w:color="auto"/>
            <w:right w:val="none" w:sz="0" w:space="0" w:color="auto"/>
          </w:divBdr>
        </w:div>
        <w:div w:id="912549001">
          <w:marLeft w:val="0"/>
          <w:marRight w:val="0"/>
          <w:marTop w:val="150"/>
          <w:marBottom w:val="0"/>
          <w:divBdr>
            <w:top w:val="none" w:sz="0" w:space="0" w:color="auto"/>
            <w:left w:val="none" w:sz="0" w:space="0" w:color="auto"/>
            <w:bottom w:val="none" w:sz="0" w:space="0" w:color="auto"/>
            <w:right w:val="none" w:sz="0" w:space="0" w:color="auto"/>
          </w:divBdr>
        </w:div>
      </w:divsChild>
    </w:div>
    <w:div w:id="20937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13E8-80B1-4B7E-A6E7-540E7D3F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2578</Words>
  <Characters>14185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Thierry</dc:creator>
  <cp:lastModifiedBy>Moi</cp:lastModifiedBy>
  <cp:revision>2</cp:revision>
  <cp:lastPrinted>2020-06-22T10:26:00Z</cp:lastPrinted>
  <dcterms:created xsi:type="dcterms:W3CDTF">2022-11-16T11:07:00Z</dcterms:created>
  <dcterms:modified xsi:type="dcterms:W3CDTF">2022-11-16T11:07:00Z</dcterms:modified>
</cp:coreProperties>
</file>