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D319" w14:textId="32B4091A" w:rsidR="00D81C9B" w:rsidRPr="005C10CA" w:rsidRDefault="004C167C" w:rsidP="001805BD">
      <w:pPr>
        <w:pStyle w:val="Titre1"/>
        <w:jc w:val="center"/>
        <w:rPr>
          <w:color w:val="000000" w:themeColor="text1"/>
          <w:sz w:val="20"/>
          <w:szCs w:val="20"/>
        </w:rPr>
      </w:pPr>
      <w:r w:rsidRPr="005C10CA">
        <w:rPr>
          <w:color w:val="000000" w:themeColor="text1"/>
          <w:sz w:val="20"/>
          <w:szCs w:val="20"/>
        </w:rPr>
        <w:t>Marché</w:t>
      </w:r>
      <w:r w:rsidR="001805BD" w:rsidRPr="005C10CA">
        <w:rPr>
          <w:color w:val="000000" w:themeColor="text1"/>
          <w:sz w:val="20"/>
          <w:szCs w:val="20"/>
        </w:rPr>
        <w:t xml:space="preserve"> de prestations intellectuelles</w:t>
      </w:r>
    </w:p>
    <w:p w14:paraId="06220E69" w14:textId="2FA68862" w:rsidR="001805BD" w:rsidRPr="005C10CA" w:rsidRDefault="001805BD" w:rsidP="001805BD"/>
    <w:p w14:paraId="5B1DF959" w14:textId="10FF99AE" w:rsidR="001805BD" w:rsidRPr="005C10CA" w:rsidRDefault="004C167C" w:rsidP="001805BD">
      <w:pPr>
        <w:pStyle w:val="Titre1"/>
        <w:jc w:val="center"/>
      </w:pPr>
      <w:r w:rsidRPr="005C10CA">
        <w:t>Cahier des clauses particulières</w:t>
      </w:r>
    </w:p>
    <w:p w14:paraId="22CAF676" w14:textId="39E03865" w:rsidR="001805BD" w:rsidRPr="005C10CA" w:rsidRDefault="001805BD" w:rsidP="001805BD"/>
    <w:p w14:paraId="69E040AC" w14:textId="77777777" w:rsidR="001805BD" w:rsidRPr="005C10CA" w:rsidRDefault="001805BD" w:rsidP="001805BD"/>
    <w:p w14:paraId="47A464FA" w14:textId="7E430486" w:rsidR="001805BD" w:rsidRPr="005C10CA" w:rsidRDefault="004C167C" w:rsidP="001805BD">
      <w:pPr>
        <w:pStyle w:val="Titre2"/>
        <w:jc w:val="center"/>
      </w:pPr>
      <w:r w:rsidRPr="005C10CA">
        <w:t>Elaboration d’un plan-guide</w:t>
      </w:r>
      <w:r w:rsidR="0068357E">
        <w:t xml:space="preserve"> </w:t>
      </w:r>
      <w:r w:rsidR="00CF151F">
        <w:t>COMMUNAL</w:t>
      </w:r>
    </w:p>
    <w:p w14:paraId="1478F143" w14:textId="1BC50545" w:rsidR="001805BD" w:rsidRPr="005C10CA" w:rsidRDefault="001805BD" w:rsidP="001805BD"/>
    <w:p w14:paraId="7067E176" w14:textId="1F2E58D0" w:rsidR="001805BD" w:rsidRPr="005C10CA" w:rsidRDefault="001805BD" w:rsidP="001805BD"/>
    <w:p w14:paraId="05721C68" w14:textId="77777777" w:rsidR="004C167C" w:rsidRPr="005C10CA" w:rsidRDefault="004C167C">
      <w:pPr>
        <w:rPr>
          <w:rFonts w:eastAsia="Times New Roman" w:cs="Times New Roman"/>
          <w:b/>
          <w:bCs/>
          <w:caps/>
          <w:color w:val="000000" w:themeColor="text1"/>
          <w:sz w:val="24"/>
          <w:szCs w:val="26"/>
        </w:rPr>
      </w:pPr>
      <w:bookmarkStart w:id="0" w:name="_Toc528596340"/>
      <w:r w:rsidRPr="005C10CA">
        <w:br w:type="page"/>
      </w:r>
    </w:p>
    <w:p w14:paraId="234D246D" w14:textId="48694D7D" w:rsidR="00D81C9B" w:rsidRPr="00B60342" w:rsidRDefault="00D81C9B" w:rsidP="00D81C9B">
      <w:pPr>
        <w:pStyle w:val="Titre2"/>
      </w:pPr>
      <w:r w:rsidRPr="00B60342">
        <w:lastRenderedPageBreak/>
        <w:t xml:space="preserve">Article 1 </w:t>
      </w:r>
      <w:r w:rsidR="004C167C" w:rsidRPr="00B60342">
        <w:t>-</w:t>
      </w:r>
      <w:r w:rsidRPr="00B60342">
        <w:t xml:space="preserve"> Objet </w:t>
      </w:r>
      <w:bookmarkEnd w:id="0"/>
      <w:r w:rsidR="004C167C" w:rsidRPr="00B60342">
        <w:t>DU MARCHÉ</w:t>
      </w:r>
    </w:p>
    <w:p w14:paraId="0ACE832A" w14:textId="56EF0987" w:rsidR="00665229" w:rsidRPr="00B60342" w:rsidRDefault="00665229" w:rsidP="00665229">
      <w:pPr>
        <w:rPr>
          <w:rFonts w:cs="Arial"/>
          <w:color w:val="000000" w:themeColor="text1"/>
          <w:szCs w:val="19"/>
        </w:rPr>
      </w:pPr>
      <w:r w:rsidRPr="00B60342">
        <w:rPr>
          <w:color w:val="000000" w:themeColor="text1"/>
        </w:rPr>
        <w:t xml:space="preserve">Ce marché de prestations intellectuelles porte sur l’élaboration d’un plan-guide </w:t>
      </w:r>
      <w:r w:rsidR="00282530">
        <w:rPr>
          <w:color w:val="000000" w:themeColor="text1"/>
        </w:rPr>
        <w:t>communal pour</w:t>
      </w:r>
      <w:r w:rsidRPr="00B60342">
        <w:rPr>
          <w:color w:val="000000" w:themeColor="text1"/>
        </w:rPr>
        <w:t xml:space="preserve"> </w:t>
      </w:r>
      <w:r w:rsidRPr="00B60342">
        <w:rPr>
          <w:rFonts w:cs="Arial"/>
          <w:color w:val="000000" w:themeColor="text1"/>
          <w:szCs w:val="19"/>
          <w:shd w:val="clear" w:color="auto" w:fill="95B3D7" w:themeFill="accent1" w:themeFillTint="99"/>
        </w:rPr>
        <w:t>Identifier la commune</w:t>
      </w:r>
      <w:r w:rsidRPr="00B60342">
        <w:rPr>
          <w:rFonts w:cs="Arial"/>
          <w:color w:val="000000" w:themeColor="text1"/>
          <w:szCs w:val="19"/>
        </w:rPr>
        <w:t xml:space="preserve">, dont les prestations attendues sont décrites à l’article 3 du présent CCP. </w:t>
      </w:r>
    </w:p>
    <w:p w14:paraId="78357322" w14:textId="77777777" w:rsidR="00665229" w:rsidRPr="00B60342" w:rsidRDefault="00665229" w:rsidP="00665229">
      <w:pPr>
        <w:pStyle w:val="Titre4"/>
      </w:pPr>
      <w:r w:rsidRPr="00B60342">
        <w:t>Article 1.1 – Présentation du territoire et du périmètre</w:t>
      </w:r>
    </w:p>
    <w:p w14:paraId="39525411" w14:textId="3C4C24A5" w:rsidR="00665229" w:rsidRPr="00B60342" w:rsidRDefault="00665229" w:rsidP="00665229">
      <w:pPr>
        <w:rPr>
          <w:color w:val="000000" w:themeColor="text1"/>
          <w:shd w:val="clear" w:color="auto" w:fill="95B3D7" w:themeFill="accent1" w:themeFillTint="99"/>
        </w:rPr>
      </w:pPr>
      <w:r w:rsidRPr="00B60342">
        <w:rPr>
          <w:color w:val="000000" w:themeColor="text1"/>
          <w:shd w:val="clear" w:color="auto" w:fill="95B3D7" w:themeFill="accent1" w:themeFillTint="99"/>
        </w:rPr>
        <w:t>Présentation de la commune dans son contexte : démographie, situation géographique, urbanisme réglementaire</w:t>
      </w:r>
      <w:r w:rsidR="00E86ABC" w:rsidRPr="00B60342">
        <w:rPr>
          <w:color w:val="000000" w:themeColor="text1"/>
          <w:shd w:val="clear" w:color="auto" w:fill="95B3D7" w:themeFill="accent1" w:themeFillTint="99"/>
        </w:rPr>
        <w:t>, projets d’aménagement en cours ou planifiés, …</w:t>
      </w:r>
    </w:p>
    <w:p w14:paraId="7333B587" w14:textId="3B6F631B" w:rsidR="0064424B" w:rsidRPr="00B60342" w:rsidRDefault="0064424B" w:rsidP="0064424B">
      <w:pPr>
        <w:rPr>
          <w:color w:val="000000" w:themeColor="text1"/>
        </w:rPr>
      </w:pPr>
      <w:r w:rsidRPr="00B60342">
        <w:rPr>
          <w:color w:val="000000" w:themeColor="text1"/>
          <w:shd w:val="clear" w:color="auto" w:fill="95B3D7" w:themeFill="accent1" w:themeFillTint="99"/>
        </w:rPr>
        <w:t>Identification du périmètre couvert par l’étude</w:t>
      </w:r>
    </w:p>
    <w:p w14:paraId="26046BC9" w14:textId="054EC117" w:rsidR="004C167C" w:rsidRPr="00B60342" w:rsidRDefault="004C167C" w:rsidP="000B4755">
      <w:pPr>
        <w:pStyle w:val="Titre4"/>
      </w:pPr>
      <w:r w:rsidRPr="00B60342">
        <w:t>Article 1.</w:t>
      </w:r>
      <w:r w:rsidR="00665229" w:rsidRPr="00B60342">
        <w:t>2</w:t>
      </w:r>
      <w:r w:rsidRPr="00B60342">
        <w:t xml:space="preserve"> - </w:t>
      </w:r>
      <w:r w:rsidR="00665229" w:rsidRPr="00B60342">
        <w:t>Enjeux</w:t>
      </w:r>
      <w:r w:rsidRPr="00B60342">
        <w:t xml:space="preserve"> </w:t>
      </w:r>
      <w:r w:rsidR="00665229" w:rsidRPr="00B60342">
        <w:t>et objectifs poursuivis</w:t>
      </w:r>
    </w:p>
    <w:p w14:paraId="714CD651" w14:textId="447E23CC" w:rsidR="00B93B43" w:rsidRPr="00B60342" w:rsidRDefault="00B93B43" w:rsidP="00B93B43">
      <w:pPr>
        <w:rPr>
          <w:rFonts w:cs="Arial"/>
          <w:color w:val="000000" w:themeColor="text1"/>
          <w:szCs w:val="19"/>
        </w:rPr>
      </w:pPr>
      <w:bookmarkStart w:id="1" w:name="_Hlk118469550"/>
      <w:bookmarkStart w:id="2" w:name="_Toc528596355"/>
      <w:bookmarkStart w:id="3" w:name="_Toc19261775"/>
      <w:r w:rsidRPr="00B60342">
        <w:rPr>
          <w:rFonts w:cs="Arial"/>
          <w:color w:val="000000" w:themeColor="text1"/>
          <w:szCs w:val="19"/>
        </w:rPr>
        <w:t xml:space="preserve">Le plan-guide est un outil </w:t>
      </w:r>
      <w:r w:rsidR="0064424B" w:rsidRPr="00B60342">
        <w:rPr>
          <w:rFonts w:cs="Arial"/>
          <w:color w:val="000000" w:themeColor="text1"/>
          <w:szCs w:val="19"/>
        </w:rPr>
        <w:t>stratégique</w:t>
      </w:r>
      <w:r w:rsidRPr="00B60342">
        <w:rPr>
          <w:rFonts w:cs="Arial"/>
          <w:color w:val="000000" w:themeColor="text1"/>
          <w:szCs w:val="19"/>
        </w:rPr>
        <w:t xml:space="preserve"> et évolutif de gestion urbaine qui doit permettre à la commune de définir </w:t>
      </w:r>
      <w:r w:rsidR="005E0957">
        <w:rPr>
          <w:rFonts w:cs="Arial"/>
          <w:color w:val="000000" w:themeColor="text1"/>
          <w:szCs w:val="19"/>
        </w:rPr>
        <w:t>s</w:t>
      </w:r>
      <w:r w:rsidR="00B60342">
        <w:rPr>
          <w:rFonts w:cs="Arial"/>
          <w:color w:val="000000" w:themeColor="text1"/>
          <w:szCs w:val="19"/>
        </w:rPr>
        <w:t xml:space="preserve">a vision et </w:t>
      </w:r>
      <w:r w:rsidRPr="00B60342">
        <w:rPr>
          <w:rFonts w:cs="Arial"/>
          <w:color w:val="000000" w:themeColor="text1"/>
          <w:szCs w:val="19"/>
        </w:rPr>
        <w:t xml:space="preserve">les axes structurants de son </w:t>
      </w:r>
      <w:r w:rsidR="0023684F">
        <w:rPr>
          <w:rFonts w:cs="Arial"/>
          <w:color w:val="000000" w:themeColor="text1"/>
          <w:szCs w:val="19"/>
        </w:rPr>
        <w:t>évolution</w:t>
      </w:r>
      <w:r w:rsidR="0023684F" w:rsidRPr="00B60342">
        <w:rPr>
          <w:rFonts w:cs="Arial"/>
          <w:color w:val="000000" w:themeColor="text1"/>
          <w:szCs w:val="19"/>
        </w:rPr>
        <w:t xml:space="preserve"> </w:t>
      </w:r>
      <w:r w:rsidRPr="00B60342">
        <w:rPr>
          <w:rFonts w:cs="Arial"/>
          <w:color w:val="000000" w:themeColor="text1"/>
          <w:szCs w:val="19"/>
        </w:rPr>
        <w:t>urbain</w:t>
      </w:r>
      <w:r w:rsidR="0023684F">
        <w:rPr>
          <w:rFonts w:cs="Arial"/>
          <w:color w:val="000000" w:themeColor="text1"/>
          <w:szCs w:val="19"/>
        </w:rPr>
        <w:t>e</w:t>
      </w:r>
      <w:r w:rsidRPr="00B60342">
        <w:rPr>
          <w:rFonts w:cs="Arial"/>
          <w:color w:val="000000" w:themeColor="text1"/>
          <w:szCs w:val="19"/>
        </w:rPr>
        <w:t xml:space="preserve">. </w:t>
      </w:r>
      <w:bookmarkEnd w:id="1"/>
      <w:r w:rsidR="0064424B" w:rsidRPr="00B60342">
        <w:rPr>
          <w:rFonts w:cs="Arial"/>
          <w:color w:val="000000" w:themeColor="text1"/>
          <w:szCs w:val="19"/>
        </w:rPr>
        <w:t>Composé de cartographies, de représentations graphiques des aménagements</w:t>
      </w:r>
      <w:r w:rsidR="00B60342">
        <w:rPr>
          <w:rFonts w:cs="Arial"/>
          <w:color w:val="000000" w:themeColor="text1"/>
          <w:szCs w:val="19"/>
        </w:rPr>
        <w:t xml:space="preserve">, d’un récit </w:t>
      </w:r>
      <w:r w:rsidR="008933FE">
        <w:rPr>
          <w:rFonts w:cs="Arial"/>
          <w:color w:val="000000" w:themeColor="text1"/>
          <w:szCs w:val="19"/>
        </w:rPr>
        <w:t>du territoire</w:t>
      </w:r>
      <w:r w:rsidR="0064424B" w:rsidRPr="00B60342">
        <w:rPr>
          <w:rFonts w:cs="Arial"/>
          <w:color w:val="000000" w:themeColor="text1"/>
          <w:szCs w:val="19"/>
        </w:rPr>
        <w:t xml:space="preserve"> et accompagné de documents écrits, il dessine les grandes orientations urbaines </w:t>
      </w:r>
      <w:r w:rsidR="0023684F">
        <w:rPr>
          <w:rFonts w:cs="Arial"/>
          <w:color w:val="000000" w:themeColor="text1"/>
          <w:szCs w:val="19"/>
        </w:rPr>
        <w:t xml:space="preserve">et paysagères </w:t>
      </w:r>
      <w:r w:rsidR="006E52CC" w:rsidRPr="00B60342">
        <w:rPr>
          <w:rFonts w:cs="Arial"/>
          <w:color w:val="000000" w:themeColor="text1"/>
          <w:szCs w:val="19"/>
        </w:rPr>
        <w:t xml:space="preserve">envisageables </w:t>
      </w:r>
      <w:r w:rsidR="0064424B" w:rsidRPr="00B60342">
        <w:rPr>
          <w:rFonts w:cs="Arial"/>
          <w:color w:val="000000" w:themeColor="text1"/>
          <w:szCs w:val="19"/>
        </w:rPr>
        <w:t>à plus ou moins long terme sur le périmètre retenu</w:t>
      </w:r>
      <w:r w:rsidR="005E0957">
        <w:rPr>
          <w:rFonts w:cs="Arial"/>
          <w:color w:val="000000" w:themeColor="text1"/>
          <w:szCs w:val="19"/>
        </w:rPr>
        <w:t xml:space="preserve"> et les thèmes transversaux à l’aménagement</w:t>
      </w:r>
      <w:r w:rsidR="0064424B" w:rsidRPr="00B60342">
        <w:rPr>
          <w:rFonts w:cs="Arial"/>
          <w:color w:val="000000" w:themeColor="text1"/>
          <w:szCs w:val="19"/>
        </w:rPr>
        <w:t xml:space="preserve">. </w:t>
      </w:r>
      <w:r w:rsidR="00B60342">
        <w:rPr>
          <w:rFonts w:cs="Arial"/>
          <w:color w:val="000000" w:themeColor="text1"/>
          <w:szCs w:val="19"/>
        </w:rPr>
        <w:t xml:space="preserve">Il peut aussi permettre à la commune de rendre cohérent les aménagements </w:t>
      </w:r>
      <w:r w:rsidR="005E0957">
        <w:rPr>
          <w:rFonts w:cs="Arial"/>
          <w:color w:val="000000" w:themeColor="text1"/>
          <w:szCs w:val="19"/>
        </w:rPr>
        <w:t xml:space="preserve">réalisés récemment ou </w:t>
      </w:r>
      <w:r w:rsidR="00B60342">
        <w:rPr>
          <w:rFonts w:cs="Arial"/>
          <w:color w:val="000000" w:themeColor="text1"/>
          <w:szCs w:val="19"/>
        </w:rPr>
        <w:t xml:space="preserve">en cours avec les orientations </w:t>
      </w:r>
      <w:r w:rsidR="005E0957">
        <w:rPr>
          <w:rFonts w:cs="Arial"/>
          <w:color w:val="000000" w:themeColor="text1"/>
          <w:szCs w:val="19"/>
        </w:rPr>
        <w:t>futures</w:t>
      </w:r>
      <w:r w:rsidR="00B60342">
        <w:rPr>
          <w:rFonts w:cs="Arial"/>
          <w:color w:val="000000" w:themeColor="text1"/>
          <w:szCs w:val="19"/>
        </w:rPr>
        <w:t xml:space="preserve">.  </w:t>
      </w:r>
    </w:p>
    <w:p w14:paraId="0DBF070D" w14:textId="6BF40BA9" w:rsidR="00665229" w:rsidRPr="00B60342" w:rsidRDefault="00665229" w:rsidP="00665229">
      <w:pPr>
        <w:rPr>
          <w:color w:val="000000" w:themeColor="text1"/>
        </w:rPr>
      </w:pPr>
      <w:r w:rsidRPr="00B60342">
        <w:rPr>
          <w:color w:val="000000" w:themeColor="text1"/>
          <w:shd w:val="clear" w:color="auto" w:fill="95B3D7" w:themeFill="accent1" w:themeFillTint="99"/>
        </w:rPr>
        <w:t xml:space="preserve">Présentation des motifs qui ont conduit à l’élaboration du plan-guide, des </w:t>
      </w:r>
      <w:r w:rsidR="00E61D34" w:rsidRPr="00B60342">
        <w:rPr>
          <w:color w:val="000000" w:themeColor="text1"/>
          <w:shd w:val="clear" w:color="auto" w:fill="95B3D7" w:themeFill="accent1" w:themeFillTint="99"/>
        </w:rPr>
        <w:t xml:space="preserve">enjeux </w:t>
      </w:r>
      <w:r w:rsidR="00B93B43" w:rsidRPr="00B60342">
        <w:rPr>
          <w:color w:val="000000" w:themeColor="text1"/>
          <w:shd w:val="clear" w:color="auto" w:fill="95B3D7" w:themeFill="accent1" w:themeFillTint="99"/>
        </w:rPr>
        <w:t xml:space="preserve">pressentis </w:t>
      </w:r>
      <w:r w:rsidR="00E61D34" w:rsidRPr="00B60342">
        <w:rPr>
          <w:color w:val="000000" w:themeColor="text1"/>
          <w:shd w:val="clear" w:color="auto" w:fill="95B3D7" w:themeFill="accent1" w:themeFillTint="99"/>
        </w:rPr>
        <w:t>à courts/moyens et long terme de l’aménagement de la commune</w:t>
      </w:r>
    </w:p>
    <w:p w14:paraId="2697207E" w14:textId="77777777" w:rsidR="000B4755" w:rsidRPr="005C10CA" w:rsidRDefault="000B4755" w:rsidP="000B4755"/>
    <w:p w14:paraId="1F65C2B9" w14:textId="1465F5E5" w:rsidR="00D7730D" w:rsidRPr="005C10CA" w:rsidRDefault="00D7730D" w:rsidP="00D7730D">
      <w:pPr>
        <w:pStyle w:val="Titre2"/>
      </w:pPr>
      <w:r w:rsidRPr="005C10CA">
        <w:t xml:space="preserve">Article 2 – PiÈces constitutives </w:t>
      </w:r>
      <w:bookmarkEnd w:id="2"/>
      <w:bookmarkEnd w:id="3"/>
      <w:r w:rsidR="007F0A74" w:rsidRPr="005C10CA">
        <w:t>DU MARCHÉ</w:t>
      </w:r>
    </w:p>
    <w:p w14:paraId="1DEBEA22" w14:textId="066A4B5E" w:rsidR="00D7730D" w:rsidRPr="005C10CA" w:rsidRDefault="00D7730D" w:rsidP="00D7730D">
      <w:pPr>
        <w:spacing w:after="120"/>
        <w:jc w:val="both"/>
        <w:rPr>
          <w:rFonts w:cs="Arial"/>
          <w:szCs w:val="19"/>
        </w:rPr>
      </w:pPr>
      <w:r w:rsidRPr="005C10CA">
        <w:rPr>
          <w:rFonts w:cs="Arial"/>
          <w:szCs w:val="19"/>
        </w:rPr>
        <w:t>Par dérogation à l'article 4.1 du CCAG-PI, les pièces contractuelles du marché sont les suivantes et, en cas de contradiction entre leurs stipulations, prévalent dans cet ordre de priorité :</w:t>
      </w:r>
    </w:p>
    <w:p w14:paraId="7FC24033" w14:textId="4E71F543" w:rsidR="00D7730D" w:rsidRPr="005C10CA" w:rsidRDefault="00D7730D" w:rsidP="00D7730D">
      <w:pPr>
        <w:pStyle w:val="Paragraphedeliste"/>
        <w:numPr>
          <w:ilvl w:val="0"/>
          <w:numId w:val="39"/>
        </w:numPr>
        <w:spacing w:after="0" w:line="240" w:lineRule="auto"/>
        <w:jc w:val="both"/>
        <w:rPr>
          <w:color w:val="000000"/>
          <w:szCs w:val="19"/>
        </w:rPr>
      </w:pPr>
      <w:r w:rsidRPr="005C10CA">
        <w:rPr>
          <w:szCs w:val="19"/>
        </w:rPr>
        <w:t>l’acte d’engagement (AE)</w:t>
      </w:r>
      <w:r w:rsidR="002E2B4A" w:rsidRPr="005C10CA">
        <w:rPr>
          <w:szCs w:val="19"/>
        </w:rPr>
        <w:t> ;</w:t>
      </w:r>
    </w:p>
    <w:p w14:paraId="7E81D34B" w14:textId="17CBBBEE" w:rsidR="00D7730D" w:rsidRPr="005C10CA" w:rsidRDefault="00D7730D" w:rsidP="00D7730D">
      <w:pPr>
        <w:pStyle w:val="Paragraphedeliste"/>
        <w:numPr>
          <w:ilvl w:val="0"/>
          <w:numId w:val="39"/>
        </w:numPr>
        <w:spacing w:after="0" w:line="240" w:lineRule="auto"/>
        <w:jc w:val="both"/>
        <w:rPr>
          <w:color w:val="000000"/>
          <w:szCs w:val="19"/>
        </w:rPr>
      </w:pPr>
      <w:r w:rsidRPr="005C10CA">
        <w:rPr>
          <w:szCs w:val="19"/>
        </w:rPr>
        <w:t>le présent cahier des clauses particulières ;</w:t>
      </w:r>
    </w:p>
    <w:p w14:paraId="5593E63F" w14:textId="00637C5B" w:rsidR="00D7730D" w:rsidRPr="005C10CA" w:rsidRDefault="00D7730D" w:rsidP="00D7730D">
      <w:pPr>
        <w:numPr>
          <w:ilvl w:val="0"/>
          <w:numId w:val="10"/>
        </w:numPr>
        <w:tabs>
          <w:tab w:val="left" w:pos="-540"/>
          <w:tab w:val="left" w:pos="709"/>
          <w:tab w:val="left" w:pos="1260"/>
          <w:tab w:val="left" w:pos="1800"/>
        </w:tabs>
        <w:spacing w:after="0" w:line="240" w:lineRule="auto"/>
        <w:jc w:val="both"/>
        <w:rPr>
          <w:rFonts w:cs="Arial"/>
          <w:szCs w:val="19"/>
        </w:rPr>
      </w:pPr>
      <w:r w:rsidRPr="005C10CA">
        <w:rPr>
          <w:rFonts w:cs="Arial"/>
          <w:szCs w:val="19"/>
        </w:rPr>
        <w:t>le cahier des clauses administratives générales applicables aux marchés publics de prestations intellectuelles (CCAG-PI) approuvé par l’arrêté du 30 mars 2021 portant approbation du cahier des clauses administratives générales applicables aux marchés publics de prestations intellectuelles, sous réserve des dérogations expressément prévues dans le présent CCP ;</w:t>
      </w:r>
    </w:p>
    <w:p w14:paraId="056F4387" w14:textId="0C3108D2" w:rsidR="005026B1" w:rsidRPr="005C10CA" w:rsidRDefault="00D7730D" w:rsidP="00D81C9B">
      <w:pPr>
        <w:numPr>
          <w:ilvl w:val="0"/>
          <w:numId w:val="10"/>
        </w:numPr>
        <w:tabs>
          <w:tab w:val="left" w:pos="-540"/>
          <w:tab w:val="left" w:pos="709"/>
          <w:tab w:val="left" w:pos="1260"/>
          <w:tab w:val="left" w:pos="1800"/>
        </w:tabs>
        <w:spacing w:after="0" w:line="240" w:lineRule="auto"/>
        <w:jc w:val="both"/>
        <w:rPr>
          <w:rFonts w:cs="Arial"/>
          <w:szCs w:val="19"/>
        </w:rPr>
      </w:pPr>
      <w:r w:rsidRPr="005C10CA">
        <w:rPr>
          <w:rFonts w:cs="Arial"/>
          <w:szCs w:val="19"/>
        </w:rPr>
        <w:t>l’offre du titulaire</w:t>
      </w:r>
      <w:bookmarkStart w:id="4" w:name="_Toc528596341"/>
      <w:r w:rsidR="00E5156B">
        <w:rPr>
          <w:rFonts w:cs="Arial"/>
          <w:szCs w:val="19"/>
        </w:rPr>
        <w:t xml:space="preserve">. </w:t>
      </w:r>
    </w:p>
    <w:p w14:paraId="48D0976A" w14:textId="77777777" w:rsidR="00E5156B" w:rsidRDefault="00E5156B" w:rsidP="00D81C9B">
      <w:pPr>
        <w:pStyle w:val="Titre2"/>
      </w:pPr>
    </w:p>
    <w:p w14:paraId="4769EBA9" w14:textId="502C2692" w:rsidR="00D81C9B" w:rsidRPr="00B60342" w:rsidRDefault="00D81C9B" w:rsidP="00D81C9B">
      <w:pPr>
        <w:pStyle w:val="Titre2"/>
      </w:pPr>
      <w:r w:rsidRPr="00B60342">
        <w:t xml:space="preserve">Article </w:t>
      </w:r>
      <w:r w:rsidR="00D7730D" w:rsidRPr="00B60342">
        <w:t>3</w:t>
      </w:r>
      <w:r w:rsidRPr="00B60342">
        <w:t xml:space="preserve"> – </w:t>
      </w:r>
      <w:bookmarkEnd w:id="4"/>
      <w:r w:rsidR="009E1332" w:rsidRPr="00B60342">
        <w:t>Description de la mission</w:t>
      </w:r>
      <w:r w:rsidRPr="00B60342">
        <w:t xml:space="preserve"> </w:t>
      </w:r>
    </w:p>
    <w:p w14:paraId="7B707332" w14:textId="3518CFF9" w:rsidR="001E680A" w:rsidRPr="00B60342" w:rsidRDefault="001E680A" w:rsidP="001E680A">
      <w:pPr>
        <w:rPr>
          <w:color w:val="000000" w:themeColor="text1"/>
          <w:szCs w:val="19"/>
        </w:rPr>
      </w:pPr>
      <w:r w:rsidRPr="00B60342">
        <w:rPr>
          <w:color w:val="000000" w:themeColor="text1"/>
          <w:szCs w:val="19"/>
        </w:rPr>
        <w:t>L’objectif de la mission repose sur l</w:t>
      </w:r>
      <w:r w:rsidR="00455941" w:rsidRPr="00B60342">
        <w:rPr>
          <w:color w:val="000000" w:themeColor="text1"/>
          <w:szCs w:val="19"/>
        </w:rPr>
        <w:t>’élaboration</w:t>
      </w:r>
      <w:r w:rsidRPr="00B60342">
        <w:rPr>
          <w:color w:val="000000" w:themeColor="text1"/>
          <w:szCs w:val="19"/>
        </w:rPr>
        <w:t xml:space="preserve"> d’une stratégie </w:t>
      </w:r>
      <w:r w:rsidR="00455941" w:rsidRPr="00B60342">
        <w:rPr>
          <w:color w:val="000000" w:themeColor="text1"/>
          <w:szCs w:val="19"/>
        </w:rPr>
        <w:t xml:space="preserve">d’aménagement </w:t>
      </w:r>
      <w:r w:rsidRPr="00B60342">
        <w:rPr>
          <w:color w:val="000000" w:themeColor="text1"/>
          <w:szCs w:val="19"/>
        </w:rPr>
        <w:t>d’ensemble et d’un projet global pour la commune, formalisée dans le plan-guide</w:t>
      </w:r>
      <w:r w:rsidR="005026B1" w:rsidRPr="00B60342">
        <w:rPr>
          <w:color w:val="000000" w:themeColor="text1"/>
          <w:szCs w:val="19"/>
        </w:rPr>
        <w:t xml:space="preserve">. Celui-ci définira </w:t>
      </w:r>
      <w:r w:rsidR="00F000B1" w:rsidRPr="00B60342">
        <w:rPr>
          <w:color w:val="000000" w:themeColor="text1"/>
          <w:szCs w:val="19"/>
        </w:rPr>
        <w:t xml:space="preserve">une feuille de route et </w:t>
      </w:r>
      <w:r w:rsidR="005026B1" w:rsidRPr="00B60342">
        <w:rPr>
          <w:color w:val="000000" w:themeColor="text1"/>
          <w:szCs w:val="19"/>
        </w:rPr>
        <w:t xml:space="preserve">un cadre d’intervention pour la réalisation des </w:t>
      </w:r>
      <w:r w:rsidRPr="00B60342">
        <w:rPr>
          <w:color w:val="000000" w:themeColor="text1"/>
          <w:szCs w:val="19"/>
        </w:rPr>
        <w:t xml:space="preserve">aménagements répondant aux problématiques et attentes du territoire. </w:t>
      </w:r>
    </w:p>
    <w:p w14:paraId="40C4C625" w14:textId="01DB6780" w:rsidR="00170510" w:rsidRPr="00B60342" w:rsidRDefault="00170510" w:rsidP="00170510">
      <w:pPr>
        <w:rPr>
          <w:rFonts w:cs="Arial"/>
          <w:color w:val="000000" w:themeColor="text1"/>
          <w:szCs w:val="19"/>
          <w:shd w:val="clear" w:color="auto" w:fill="FFFFFF"/>
        </w:rPr>
      </w:pPr>
      <w:r w:rsidRPr="00B60342">
        <w:rPr>
          <w:rFonts w:cs="Arial"/>
          <w:color w:val="000000" w:themeColor="text1"/>
          <w:szCs w:val="19"/>
          <w:shd w:val="clear" w:color="auto" w:fill="FFFFFF"/>
        </w:rPr>
        <w:t xml:space="preserve">La mission est organisée en 3 phases, qui font chacune l’objet de vérifications et de décisions distinctes. </w:t>
      </w:r>
    </w:p>
    <w:p w14:paraId="458281E5" w14:textId="7E3337B5" w:rsidR="00D81C9B" w:rsidRPr="00B60342" w:rsidRDefault="00D81C9B" w:rsidP="00D81C9B">
      <w:pPr>
        <w:pStyle w:val="Titre4"/>
      </w:pPr>
      <w:bookmarkStart w:id="5" w:name="_Toc528596342"/>
      <w:r w:rsidRPr="00B60342">
        <w:t xml:space="preserve">Article </w:t>
      </w:r>
      <w:r w:rsidR="00D7730D" w:rsidRPr="00B60342">
        <w:t>3</w:t>
      </w:r>
      <w:r w:rsidRPr="00B60342">
        <w:t xml:space="preserve">.1 </w:t>
      </w:r>
      <w:r w:rsidR="009E1332" w:rsidRPr="00B60342">
        <w:t>–</w:t>
      </w:r>
      <w:r w:rsidRPr="00B60342">
        <w:t xml:space="preserve"> </w:t>
      </w:r>
      <w:bookmarkEnd w:id="5"/>
      <w:r w:rsidR="009E1332" w:rsidRPr="00B60342">
        <w:t xml:space="preserve">Phase 1 : Diagnostic </w:t>
      </w:r>
      <w:r w:rsidR="0023684F">
        <w:t>stratégique de territoire</w:t>
      </w:r>
    </w:p>
    <w:p w14:paraId="6D45763D" w14:textId="5C9C07BC" w:rsidR="00724EF6" w:rsidRPr="00B60342" w:rsidRDefault="009E1332" w:rsidP="00A263CE">
      <w:pPr>
        <w:spacing w:after="120"/>
        <w:jc w:val="both"/>
        <w:rPr>
          <w:b/>
          <w:bCs/>
          <w:color w:val="000000" w:themeColor="text1"/>
          <w:u w:val="single"/>
        </w:rPr>
      </w:pPr>
      <w:r w:rsidRPr="00B60342">
        <w:rPr>
          <w:b/>
          <w:bCs/>
          <w:color w:val="000000" w:themeColor="text1"/>
          <w:u w:val="single"/>
        </w:rPr>
        <w:t>Objet</w:t>
      </w:r>
    </w:p>
    <w:p w14:paraId="6F09AA2F" w14:textId="77777777" w:rsidR="00D3653D" w:rsidRPr="00B60342" w:rsidRDefault="00665229" w:rsidP="009E1332">
      <w:pPr>
        <w:jc w:val="both"/>
        <w:rPr>
          <w:color w:val="000000" w:themeColor="text1"/>
        </w:rPr>
      </w:pPr>
      <w:r w:rsidRPr="00B60342">
        <w:rPr>
          <w:color w:val="000000" w:themeColor="text1"/>
        </w:rPr>
        <w:t>Cette phase a pour objet</w:t>
      </w:r>
      <w:r w:rsidR="00D3653D" w:rsidRPr="00B60342">
        <w:rPr>
          <w:color w:val="000000" w:themeColor="text1"/>
        </w:rPr>
        <w:t> :</w:t>
      </w:r>
    </w:p>
    <w:p w14:paraId="568F5285" w14:textId="45799040" w:rsidR="00704479" w:rsidRPr="00B60342" w:rsidRDefault="00665229" w:rsidP="00D3653D">
      <w:pPr>
        <w:pStyle w:val="Paragraphedeliste"/>
        <w:numPr>
          <w:ilvl w:val="0"/>
          <w:numId w:val="41"/>
        </w:numPr>
        <w:jc w:val="both"/>
        <w:rPr>
          <w:color w:val="000000" w:themeColor="text1"/>
        </w:rPr>
      </w:pPr>
      <w:r w:rsidRPr="00B60342">
        <w:rPr>
          <w:color w:val="000000" w:themeColor="text1"/>
        </w:rPr>
        <w:t xml:space="preserve">de </w:t>
      </w:r>
      <w:r w:rsidR="002D719D" w:rsidRPr="00B60342">
        <w:rPr>
          <w:color w:val="000000" w:themeColor="text1"/>
        </w:rPr>
        <w:t>dresse</w:t>
      </w:r>
      <w:r w:rsidR="00D3653D" w:rsidRPr="00B60342">
        <w:rPr>
          <w:color w:val="000000" w:themeColor="text1"/>
        </w:rPr>
        <w:t xml:space="preserve">r </w:t>
      </w:r>
      <w:r w:rsidR="002D719D" w:rsidRPr="00B60342">
        <w:rPr>
          <w:color w:val="000000" w:themeColor="text1"/>
        </w:rPr>
        <w:t xml:space="preserve">un état des lieux global </w:t>
      </w:r>
      <w:r w:rsidR="001E680A" w:rsidRPr="00B60342">
        <w:rPr>
          <w:color w:val="000000" w:themeColor="text1"/>
        </w:rPr>
        <w:t xml:space="preserve">et partagé </w:t>
      </w:r>
      <w:r w:rsidR="002D719D" w:rsidRPr="00B60342">
        <w:rPr>
          <w:color w:val="000000" w:themeColor="text1"/>
        </w:rPr>
        <w:t xml:space="preserve">de la commune </w:t>
      </w:r>
      <w:r w:rsidR="00D3653D" w:rsidRPr="00B60342">
        <w:rPr>
          <w:color w:val="000000" w:themeColor="text1"/>
        </w:rPr>
        <w:t xml:space="preserve">en identifiant les forces, faiblesses et opportunités du territoire dans des champs multiples (foncier / environnement bâti / </w:t>
      </w:r>
      <w:r w:rsidR="00D83652" w:rsidRPr="00B60342">
        <w:rPr>
          <w:color w:val="000000" w:themeColor="text1"/>
        </w:rPr>
        <w:t xml:space="preserve">patrimoine / </w:t>
      </w:r>
      <w:r w:rsidR="00D3653D" w:rsidRPr="00B60342">
        <w:rPr>
          <w:color w:val="000000" w:themeColor="text1"/>
        </w:rPr>
        <w:t>paysage / organisation urbaine /</w:t>
      </w:r>
      <w:r w:rsidR="008933FE">
        <w:rPr>
          <w:color w:val="000000" w:themeColor="text1"/>
        </w:rPr>
        <w:t xml:space="preserve"> </w:t>
      </w:r>
      <w:r w:rsidR="00FB512A">
        <w:rPr>
          <w:color w:val="000000" w:themeColor="text1"/>
        </w:rPr>
        <w:t>d</w:t>
      </w:r>
      <w:r w:rsidR="00D83652" w:rsidRPr="00B60342">
        <w:rPr>
          <w:color w:val="000000" w:themeColor="text1"/>
        </w:rPr>
        <w:t>éveloppement durable</w:t>
      </w:r>
      <w:r w:rsidR="008933FE">
        <w:rPr>
          <w:color w:val="000000" w:themeColor="text1"/>
        </w:rPr>
        <w:t>)</w:t>
      </w:r>
      <w:r w:rsidR="00FB512A">
        <w:rPr>
          <w:color w:val="000000" w:themeColor="text1"/>
        </w:rPr>
        <w:t xml:space="preserve"> : </w:t>
      </w:r>
    </w:p>
    <w:p w14:paraId="5522D331" w14:textId="43857844" w:rsidR="0064424B" w:rsidRPr="00B60342" w:rsidRDefault="0064424B" w:rsidP="0064424B">
      <w:pPr>
        <w:pStyle w:val="Paragraphedeliste"/>
        <w:numPr>
          <w:ilvl w:val="1"/>
          <w:numId w:val="41"/>
        </w:numPr>
        <w:jc w:val="both"/>
        <w:rPr>
          <w:color w:val="000000" w:themeColor="text1"/>
        </w:rPr>
      </w:pPr>
      <w:r w:rsidRPr="00B60342">
        <w:rPr>
          <w:color w:val="000000" w:themeColor="text1"/>
        </w:rPr>
        <w:t>environnement bâti</w:t>
      </w:r>
    </w:p>
    <w:p w14:paraId="7263B426" w14:textId="5E82874B" w:rsidR="0064424B" w:rsidRPr="00B60342" w:rsidRDefault="0064424B" w:rsidP="0064424B">
      <w:pPr>
        <w:pStyle w:val="Paragraphedeliste"/>
        <w:numPr>
          <w:ilvl w:val="1"/>
          <w:numId w:val="41"/>
        </w:numPr>
        <w:jc w:val="both"/>
        <w:rPr>
          <w:color w:val="000000" w:themeColor="text1"/>
        </w:rPr>
      </w:pPr>
      <w:r w:rsidRPr="00B60342">
        <w:rPr>
          <w:color w:val="000000" w:themeColor="text1"/>
        </w:rPr>
        <w:t>patrimoine</w:t>
      </w:r>
    </w:p>
    <w:p w14:paraId="508D2754" w14:textId="589C9A1B" w:rsidR="0064424B" w:rsidRPr="00B60342" w:rsidRDefault="0064424B" w:rsidP="0064424B">
      <w:pPr>
        <w:pStyle w:val="Paragraphedeliste"/>
        <w:numPr>
          <w:ilvl w:val="1"/>
          <w:numId w:val="41"/>
        </w:numPr>
        <w:jc w:val="both"/>
        <w:rPr>
          <w:color w:val="000000" w:themeColor="text1"/>
        </w:rPr>
      </w:pPr>
      <w:r w:rsidRPr="00B60342">
        <w:rPr>
          <w:color w:val="000000" w:themeColor="text1"/>
        </w:rPr>
        <w:t>paysage</w:t>
      </w:r>
    </w:p>
    <w:p w14:paraId="0AD0F2B3" w14:textId="40ADD105" w:rsidR="0064424B" w:rsidRPr="00B60342" w:rsidRDefault="0064424B" w:rsidP="0064424B">
      <w:pPr>
        <w:pStyle w:val="Paragraphedeliste"/>
        <w:numPr>
          <w:ilvl w:val="1"/>
          <w:numId w:val="41"/>
        </w:numPr>
        <w:jc w:val="both"/>
        <w:rPr>
          <w:color w:val="000000" w:themeColor="text1"/>
        </w:rPr>
      </w:pPr>
      <w:r w:rsidRPr="00B60342">
        <w:rPr>
          <w:color w:val="000000" w:themeColor="text1"/>
        </w:rPr>
        <w:t>organisation urbaine</w:t>
      </w:r>
    </w:p>
    <w:p w14:paraId="72C28D25" w14:textId="77777777" w:rsidR="0064424B" w:rsidRPr="00B60342" w:rsidRDefault="0064424B" w:rsidP="0064424B">
      <w:pPr>
        <w:pStyle w:val="Paragraphedeliste"/>
        <w:numPr>
          <w:ilvl w:val="1"/>
          <w:numId w:val="41"/>
        </w:numPr>
        <w:jc w:val="both"/>
        <w:rPr>
          <w:color w:val="000000" w:themeColor="text1"/>
        </w:rPr>
      </w:pPr>
      <w:r w:rsidRPr="00B60342">
        <w:rPr>
          <w:color w:val="000000" w:themeColor="text1"/>
        </w:rPr>
        <w:t>développement durable</w:t>
      </w:r>
    </w:p>
    <w:p w14:paraId="4C119FE1" w14:textId="3FB1168D" w:rsidR="0064424B" w:rsidRPr="00B60342" w:rsidRDefault="00704479" w:rsidP="0064424B">
      <w:pPr>
        <w:pStyle w:val="Paragraphedeliste"/>
        <w:numPr>
          <w:ilvl w:val="1"/>
          <w:numId w:val="41"/>
        </w:numPr>
        <w:jc w:val="both"/>
        <w:rPr>
          <w:color w:val="000000" w:themeColor="text1"/>
        </w:rPr>
      </w:pPr>
      <w:r w:rsidRPr="00B60342">
        <w:rPr>
          <w:rFonts w:cs="Arial"/>
          <w:color w:val="000000" w:themeColor="text1"/>
          <w:szCs w:val="19"/>
          <w:shd w:val="clear" w:color="auto" w:fill="95B3D7" w:themeFill="accent1" w:themeFillTint="99"/>
        </w:rPr>
        <w:sym w:font="Wingdings" w:char="F071"/>
      </w:r>
      <w:r w:rsidR="006310AD" w:rsidRPr="00B60342">
        <w:rPr>
          <w:color w:val="000000" w:themeColor="text1"/>
        </w:rPr>
        <w:t xml:space="preserve"> </w:t>
      </w:r>
      <w:r w:rsidR="008C098B">
        <w:rPr>
          <w:color w:val="000000" w:themeColor="text1"/>
        </w:rPr>
        <w:t>f</w:t>
      </w:r>
      <w:r w:rsidR="0064424B" w:rsidRPr="00B60342">
        <w:rPr>
          <w:color w:val="000000" w:themeColor="text1"/>
        </w:rPr>
        <w:t>oncier</w:t>
      </w:r>
    </w:p>
    <w:p w14:paraId="2E167D1B" w14:textId="07BB3FCF" w:rsidR="0064424B" w:rsidRPr="00B60342" w:rsidRDefault="0064424B" w:rsidP="0064424B">
      <w:pPr>
        <w:pStyle w:val="Paragraphedeliste"/>
        <w:numPr>
          <w:ilvl w:val="1"/>
          <w:numId w:val="41"/>
        </w:numPr>
        <w:jc w:val="both"/>
        <w:rPr>
          <w:color w:val="000000" w:themeColor="text1"/>
        </w:rPr>
      </w:pPr>
      <w:r w:rsidRPr="00B60342">
        <w:rPr>
          <w:rFonts w:cs="Arial"/>
          <w:color w:val="000000" w:themeColor="text1"/>
          <w:szCs w:val="19"/>
          <w:shd w:val="clear" w:color="auto" w:fill="95B3D7" w:themeFill="accent1" w:themeFillTint="99"/>
        </w:rPr>
        <w:lastRenderedPageBreak/>
        <w:sym w:font="Wingdings" w:char="F071"/>
      </w:r>
      <w:r w:rsidRPr="00B60342">
        <w:rPr>
          <w:rFonts w:cs="Arial"/>
          <w:color w:val="000000" w:themeColor="text1"/>
          <w:szCs w:val="19"/>
        </w:rPr>
        <w:t xml:space="preserve"> </w:t>
      </w:r>
      <w:r w:rsidR="008C098B">
        <w:rPr>
          <w:color w:val="000000" w:themeColor="text1"/>
        </w:rPr>
        <w:t>d</w:t>
      </w:r>
      <w:r w:rsidR="006310AD" w:rsidRPr="00B60342">
        <w:rPr>
          <w:color w:val="000000" w:themeColor="text1"/>
        </w:rPr>
        <w:t xml:space="preserve">ynamisme économique et commercial </w:t>
      </w:r>
    </w:p>
    <w:p w14:paraId="0A786ECB" w14:textId="4AD12BA3" w:rsidR="0064424B" w:rsidRPr="00B60342" w:rsidRDefault="0064424B" w:rsidP="0064424B">
      <w:pPr>
        <w:pStyle w:val="Paragraphedeliste"/>
        <w:numPr>
          <w:ilvl w:val="1"/>
          <w:numId w:val="41"/>
        </w:numPr>
        <w:jc w:val="both"/>
        <w:rPr>
          <w:color w:val="000000" w:themeColor="text1"/>
        </w:rPr>
      </w:pPr>
      <w:r w:rsidRPr="00B60342">
        <w:rPr>
          <w:rFonts w:cs="Arial"/>
          <w:color w:val="000000" w:themeColor="text1"/>
          <w:szCs w:val="19"/>
          <w:shd w:val="clear" w:color="auto" w:fill="95B3D7" w:themeFill="accent1" w:themeFillTint="99"/>
        </w:rPr>
        <w:sym w:font="Wingdings" w:char="F071"/>
      </w:r>
      <w:r w:rsidRPr="00B60342">
        <w:rPr>
          <w:rFonts w:cs="Arial"/>
          <w:color w:val="000000" w:themeColor="text1"/>
          <w:szCs w:val="19"/>
        </w:rPr>
        <w:t xml:space="preserve"> </w:t>
      </w:r>
      <w:r w:rsidR="008C098B">
        <w:rPr>
          <w:color w:val="000000" w:themeColor="text1"/>
        </w:rPr>
        <w:t>m</w:t>
      </w:r>
      <w:r w:rsidR="006310AD" w:rsidRPr="00B60342">
        <w:rPr>
          <w:color w:val="000000" w:themeColor="text1"/>
        </w:rPr>
        <w:t xml:space="preserve">obilité et déplacements </w:t>
      </w:r>
    </w:p>
    <w:p w14:paraId="773EA2C4" w14:textId="3F37831B" w:rsidR="00D3653D" w:rsidRPr="00B60342" w:rsidRDefault="0064424B" w:rsidP="0064424B">
      <w:pPr>
        <w:pStyle w:val="Paragraphedeliste"/>
        <w:numPr>
          <w:ilvl w:val="1"/>
          <w:numId w:val="41"/>
        </w:numPr>
        <w:jc w:val="both"/>
        <w:rPr>
          <w:color w:val="000000" w:themeColor="text1"/>
        </w:rPr>
      </w:pPr>
      <w:r w:rsidRPr="00B60342">
        <w:rPr>
          <w:rFonts w:cs="Arial"/>
          <w:color w:val="000000" w:themeColor="text1"/>
          <w:szCs w:val="19"/>
          <w:shd w:val="clear" w:color="auto" w:fill="95B3D7" w:themeFill="accent1" w:themeFillTint="99"/>
        </w:rPr>
        <w:sym w:font="Wingdings" w:char="F071"/>
      </w:r>
      <w:r w:rsidRPr="00B60342">
        <w:rPr>
          <w:rFonts w:cs="Arial"/>
          <w:color w:val="000000" w:themeColor="text1"/>
          <w:szCs w:val="19"/>
        </w:rPr>
        <w:t xml:space="preserve"> </w:t>
      </w:r>
      <w:r w:rsidR="008C098B">
        <w:rPr>
          <w:color w:val="000000" w:themeColor="text1"/>
        </w:rPr>
        <w:t>é</w:t>
      </w:r>
      <w:r w:rsidR="006310AD" w:rsidRPr="00B60342">
        <w:rPr>
          <w:color w:val="000000" w:themeColor="text1"/>
        </w:rPr>
        <w:t>nergie</w:t>
      </w:r>
    </w:p>
    <w:p w14:paraId="017E2808" w14:textId="488FF618" w:rsidR="00600E8A" w:rsidRPr="00B60342" w:rsidRDefault="00600E8A" w:rsidP="00D3653D">
      <w:pPr>
        <w:pStyle w:val="Paragraphedeliste"/>
        <w:numPr>
          <w:ilvl w:val="0"/>
          <w:numId w:val="41"/>
        </w:numPr>
        <w:jc w:val="both"/>
        <w:rPr>
          <w:color w:val="000000" w:themeColor="text1"/>
        </w:rPr>
      </w:pPr>
      <w:r w:rsidRPr="00B60342">
        <w:rPr>
          <w:color w:val="000000" w:themeColor="text1"/>
        </w:rPr>
        <w:t xml:space="preserve">d’identifier et mesurer les besoins et les attentes ; </w:t>
      </w:r>
    </w:p>
    <w:p w14:paraId="64283E98" w14:textId="08CE38DF" w:rsidR="006E787D" w:rsidRPr="00B60342" w:rsidRDefault="00600E8A" w:rsidP="00D3653D">
      <w:pPr>
        <w:pStyle w:val="Paragraphedeliste"/>
        <w:numPr>
          <w:ilvl w:val="0"/>
          <w:numId w:val="41"/>
        </w:numPr>
        <w:jc w:val="both"/>
        <w:rPr>
          <w:color w:val="000000" w:themeColor="text1"/>
        </w:rPr>
      </w:pPr>
      <w:r w:rsidRPr="00B60342">
        <w:rPr>
          <w:color w:val="000000" w:themeColor="text1"/>
        </w:rPr>
        <w:t xml:space="preserve">de </w:t>
      </w:r>
      <w:r w:rsidR="00D3653D" w:rsidRPr="00B60342">
        <w:rPr>
          <w:color w:val="000000" w:themeColor="text1"/>
        </w:rPr>
        <w:t xml:space="preserve">définir des enjeux d’aménagement </w:t>
      </w:r>
      <w:r w:rsidR="009667E2" w:rsidRPr="00B60342">
        <w:rPr>
          <w:color w:val="000000" w:themeColor="text1"/>
        </w:rPr>
        <w:t>pour la commun</w:t>
      </w:r>
      <w:r w:rsidR="00DC7FC7" w:rsidRPr="00B60342">
        <w:rPr>
          <w:color w:val="000000" w:themeColor="text1"/>
        </w:rPr>
        <w:t xml:space="preserve">e. </w:t>
      </w:r>
    </w:p>
    <w:p w14:paraId="7F081A1C" w14:textId="1893317D" w:rsidR="00D83652" w:rsidRPr="00B60342" w:rsidRDefault="00D83652" w:rsidP="009E1332">
      <w:pPr>
        <w:spacing w:after="120"/>
        <w:jc w:val="both"/>
        <w:rPr>
          <w:color w:val="000000" w:themeColor="text1"/>
        </w:rPr>
      </w:pPr>
      <w:r w:rsidRPr="00B60342">
        <w:rPr>
          <w:color w:val="000000" w:themeColor="text1"/>
        </w:rPr>
        <w:t xml:space="preserve">L’acheteur </w:t>
      </w:r>
      <w:r w:rsidR="003C433E" w:rsidRPr="00B60342">
        <w:rPr>
          <w:color w:val="000000" w:themeColor="text1"/>
        </w:rPr>
        <w:t>facilitera les contacts avec l’ensemble des partenaires susceptibles d’être concerné</w:t>
      </w:r>
      <w:r w:rsidR="00751235">
        <w:rPr>
          <w:color w:val="000000" w:themeColor="text1"/>
        </w:rPr>
        <w:t>s</w:t>
      </w:r>
      <w:r w:rsidR="003C433E" w:rsidRPr="00B60342">
        <w:rPr>
          <w:color w:val="000000" w:themeColor="text1"/>
        </w:rPr>
        <w:t xml:space="preserve"> par les besoins de l’étude. Il </w:t>
      </w:r>
      <w:r w:rsidRPr="00B60342">
        <w:rPr>
          <w:color w:val="000000" w:themeColor="text1"/>
        </w:rPr>
        <w:t xml:space="preserve">met à disposition du titulaire l’ensemble des sources </w:t>
      </w:r>
      <w:r w:rsidR="00196693" w:rsidRPr="00B60342">
        <w:rPr>
          <w:color w:val="000000" w:themeColor="text1"/>
        </w:rPr>
        <w:t xml:space="preserve">documentaires </w:t>
      </w:r>
      <w:r w:rsidRPr="00B60342">
        <w:rPr>
          <w:color w:val="000000" w:themeColor="text1"/>
        </w:rPr>
        <w:t xml:space="preserve">dont il dispose pour lui permettre </w:t>
      </w:r>
      <w:r w:rsidR="00196693" w:rsidRPr="00B60342">
        <w:rPr>
          <w:color w:val="000000" w:themeColor="text1"/>
        </w:rPr>
        <w:t>de réaliser le diagnostic et notamment :</w:t>
      </w:r>
    </w:p>
    <w:p w14:paraId="0F2952A1" w14:textId="09B6A4EF" w:rsidR="00196693" w:rsidRPr="00B60342" w:rsidRDefault="00196693" w:rsidP="009E1332">
      <w:pPr>
        <w:spacing w:after="120"/>
        <w:jc w:val="both"/>
        <w:rPr>
          <w:color w:val="000000" w:themeColor="text1"/>
        </w:rPr>
      </w:pPr>
      <w:r w:rsidRPr="00B60342">
        <w:rPr>
          <w:rFonts w:cs="Arial"/>
          <w:color w:val="000000" w:themeColor="text1"/>
          <w:szCs w:val="19"/>
          <w:shd w:val="clear" w:color="auto" w:fill="95B3D7" w:themeFill="accent1" w:themeFillTint="99"/>
        </w:rPr>
        <w:t>-</w:t>
      </w:r>
      <w:r w:rsidRPr="00B60342">
        <w:rPr>
          <w:rFonts w:cs="Arial"/>
          <w:color w:val="000000" w:themeColor="text1"/>
          <w:szCs w:val="19"/>
        </w:rPr>
        <w:t xml:space="preserve"> </w:t>
      </w:r>
      <w:r w:rsidRPr="00B60342">
        <w:rPr>
          <w:rFonts w:cs="Arial"/>
          <w:color w:val="000000" w:themeColor="text1"/>
          <w:szCs w:val="19"/>
          <w:shd w:val="clear" w:color="auto" w:fill="95B3D7" w:themeFill="accent1" w:themeFillTint="99"/>
        </w:rPr>
        <w:t>Identifier les éléments documentaires mis à disposition du titulaire</w:t>
      </w:r>
    </w:p>
    <w:p w14:paraId="01438F37" w14:textId="7D714568" w:rsidR="009E1332" w:rsidRPr="00B60342" w:rsidRDefault="00953C93" w:rsidP="009E1332">
      <w:pPr>
        <w:jc w:val="both"/>
        <w:rPr>
          <w:color w:val="000000" w:themeColor="text1"/>
        </w:rPr>
      </w:pPr>
      <w:r w:rsidRPr="00B60342">
        <w:rPr>
          <w:color w:val="000000" w:themeColor="text1"/>
        </w:rPr>
        <w:t>L’élaboration de ce diagnostic est conforme à la méthodologie proposée par le titulaire dans son offre</w:t>
      </w:r>
      <w:r w:rsidR="009667E2" w:rsidRPr="00B60342">
        <w:rPr>
          <w:color w:val="000000" w:themeColor="text1"/>
        </w:rPr>
        <w:t xml:space="preserve">, </w:t>
      </w:r>
      <w:r w:rsidR="00B51401" w:rsidRPr="00B60342">
        <w:rPr>
          <w:color w:val="000000" w:themeColor="text1"/>
        </w:rPr>
        <w:t xml:space="preserve">à travers ses propres outils d’analyse, et </w:t>
      </w:r>
      <w:r w:rsidR="009667E2" w:rsidRPr="00B60342">
        <w:rPr>
          <w:color w:val="000000" w:themeColor="text1"/>
        </w:rPr>
        <w:t xml:space="preserve">fondée sur </w:t>
      </w:r>
      <w:r w:rsidR="00766FA3" w:rsidRPr="00B60342">
        <w:rPr>
          <w:color w:val="000000" w:themeColor="text1"/>
        </w:rPr>
        <w:t>l</w:t>
      </w:r>
      <w:r w:rsidR="009667E2" w:rsidRPr="00B60342">
        <w:rPr>
          <w:color w:val="000000" w:themeColor="text1"/>
        </w:rPr>
        <w:t>es exigences minimales suivantes :</w:t>
      </w:r>
    </w:p>
    <w:p w14:paraId="2ED802EC" w14:textId="43C878CB" w:rsidR="003C433E" w:rsidRPr="00B60342" w:rsidRDefault="003C433E" w:rsidP="003C433E">
      <w:pPr>
        <w:pStyle w:val="Paragraphedeliste"/>
        <w:numPr>
          <w:ilvl w:val="0"/>
          <w:numId w:val="41"/>
        </w:numPr>
        <w:jc w:val="both"/>
        <w:rPr>
          <w:color w:val="000000" w:themeColor="text1"/>
        </w:rPr>
      </w:pPr>
      <w:r w:rsidRPr="00B60342">
        <w:rPr>
          <w:color w:val="000000" w:themeColor="text1"/>
        </w:rPr>
        <w:t>contenir des éléments quantitatifs</w:t>
      </w:r>
      <w:r w:rsidR="0047492A" w:rsidRPr="00B60342">
        <w:rPr>
          <w:color w:val="000000" w:themeColor="text1"/>
        </w:rPr>
        <w:t xml:space="preserve"> et qualitatifs, ainsi que des représentations graphiques </w:t>
      </w:r>
    </w:p>
    <w:p w14:paraId="024BE9F2" w14:textId="7204FB26" w:rsidR="003C433E" w:rsidRPr="00B60342" w:rsidRDefault="003C433E" w:rsidP="00953C93">
      <w:pPr>
        <w:pStyle w:val="Paragraphedeliste"/>
        <w:numPr>
          <w:ilvl w:val="0"/>
          <w:numId w:val="41"/>
        </w:numPr>
        <w:jc w:val="both"/>
        <w:rPr>
          <w:color w:val="000000" w:themeColor="text1"/>
        </w:rPr>
      </w:pPr>
      <w:r w:rsidRPr="00B60342">
        <w:rPr>
          <w:color w:val="000000" w:themeColor="text1"/>
        </w:rPr>
        <w:t>inclure une dimension prospective sur le court / moyen et long terme</w:t>
      </w:r>
    </w:p>
    <w:p w14:paraId="78191A2A" w14:textId="47D632CF" w:rsidR="00D83652" w:rsidRPr="00B60342" w:rsidRDefault="00D83652" w:rsidP="00953C93">
      <w:pPr>
        <w:pStyle w:val="Paragraphedeliste"/>
        <w:numPr>
          <w:ilvl w:val="0"/>
          <w:numId w:val="41"/>
        </w:numPr>
        <w:jc w:val="both"/>
        <w:rPr>
          <w:color w:val="000000" w:themeColor="text1"/>
        </w:rPr>
      </w:pPr>
      <w:r w:rsidRPr="00B60342">
        <w:rPr>
          <w:color w:val="000000" w:themeColor="text1"/>
        </w:rPr>
        <w:t>associer les citoyens et les élus dans l’optique d’un diagnostic partagé</w:t>
      </w:r>
    </w:p>
    <w:p w14:paraId="17487229" w14:textId="69CC5274" w:rsidR="00600E8A" w:rsidRPr="00B60342" w:rsidRDefault="00600E8A" w:rsidP="00600E8A">
      <w:pPr>
        <w:spacing w:after="120"/>
        <w:jc w:val="both"/>
        <w:rPr>
          <w:b/>
          <w:bCs/>
          <w:color w:val="000000" w:themeColor="text1"/>
          <w:u w:val="single"/>
        </w:rPr>
      </w:pPr>
      <w:r w:rsidRPr="00B60342">
        <w:rPr>
          <w:b/>
          <w:bCs/>
          <w:color w:val="000000" w:themeColor="text1"/>
          <w:u w:val="single"/>
        </w:rPr>
        <w:t>Livrables</w:t>
      </w:r>
      <w:r w:rsidR="00685CFE" w:rsidRPr="00B60342">
        <w:rPr>
          <w:b/>
          <w:bCs/>
          <w:color w:val="000000" w:themeColor="text1"/>
          <w:u w:val="single"/>
        </w:rPr>
        <w:t xml:space="preserve"> de la phase</w:t>
      </w:r>
    </w:p>
    <w:p w14:paraId="5B8F58E6" w14:textId="356DDB12" w:rsidR="00600E8A" w:rsidRPr="00B60342" w:rsidRDefault="00600E8A" w:rsidP="00600E8A">
      <w:pPr>
        <w:pStyle w:val="Paragraphedeliste"/>
        <w:numPr>
          <w:ilvl w:val="0"/>
          <w:numId w:val="41"/>
        </w:numPr>
        <w:spacing w:after="120"/>
        <w:jc w:val="both"/>
        <w:rPr>
          <w:color w:val="000000" w:themeColor="text1"/>
        </w:rPr>
      </w:pPr>
      <w:r w:rsidRPr="00B60342">
        <w:rPr>
          <w:color w:val="000000" w:themeColor="text1"/>
        </w:rPr>
        <w:t>Rapport de diagnostic</w:t>
      </w:r>
    </w:p>
    <w:p w14:paraId="527A02CD" w14:textId="00E5165F" w:rsidR="00685CFE" w:rsidRPr="00B60342" w:rsidRDefault="00685CFE" w:rsidP="00600E8A">
      <w:pPr>
        <w:pStyle w:val="Paragraphedeliste"/>
        <w:numPr>
          <w:ilvl w:val="0"/>
          <w:numId w:val="41"/>
        </w:numPr>
        <w:spacing w:after="120"/>
        <w:jc w:val="both"/>
        <w:rPr>
          <w:color w:val="000000" w:themeColor="text1"/>
        </w:rPr>
      </w:pPr>
      <w:r w:rsidRPr="00B60342">
        <w:rPr>
          <w:color w:val="000000" w:themeColor="text1"/>
        </w:rPr>
        <w:t>Calendrier opérationnel de la mission</w:t>
      </w:r>
    </w:p>
    <w:p w14:paraId="07AD39AC" w14:textId="5925F865" w:rsidR="00995E63" w:rsidRPr="00B60342" w:rsidRDefault="00995E63" w:rsidP="00995E63">
      <w:pPr>
        <w:spacing w:after="120"/>
        <w:jc w:val="both"/>
        <w:rPr>
          <w:color w:val="000000" w:themeColor="text1"/>
        </w:rPr>
      </w:pPr>
      <w:r w:rsidRPr="00B60342">
        <w:rPr>
          <w:color w:val="000000" w:themeColor="text1"/>
        </w:rPr>
        <w:t xml:space="preserve">Le rapport fait l’objet d’une présentation aux élus de la commune. </w:t>
      </w:r>
    </w:p>
    <w:p w14:paraId="1CD5E824" w14:textId="6256194B" w:rsidR="00ED71CF" w:rsidRPr="00B60342" w:rsidRDefault="00ED71CF" w:rsidP="00ED71CF">
      <w:pPr>
        <w:pStyle w:val="Titre4"/>
      </w:pPr>
      <w:bookmarkStart w:id="6" w:name="_Toc528596343"/>
      <w:r w:rsidRPr="00B60342">
        <w:t xml:space="preserve">Article </w:t>
      </w:r>
      <w:r w:rsidR="00D7730D" w:rsidRPr="00B60342">
        <w:t>3</w:t>
      </w:r>
      <w:r w:rsidRPr="00B60342">
        <w:t xml:space="preserve">.2 – </w:t>
      </w:r>
      <w:bookmarkEnd w:id="6"/>
      <w:r w:rsidR="009E1332" w:rsidRPr="00B60342">
        <w:t xml:space="preserve">Phase 2 : </w:t>
      </w:r>
      <w:r w:rsidR="003147F6">
        <w:t>Proposition stratégique</w:t>
      </w:r>
      <w:r w:rsidR="0023684F">
        <w:t xml:space="preserve"> d’aménagement</w:t>
      </w:r>
    </w:p>
    <w:p w14:paraId="437F71AC" w14:textId="2FF61CD7" w:rsidR="00D7730D" w:rsidRPr="00B60342" w:rsidRDefault="00D7730D" w:rsidP="00D7730D">
      <w:pPr>
        <w:spacing w:after="120"/>
        <w:jc w:val="both"/>
        <w:rPr>
          <w:b/>
          <w:bCs/>
          <w:color w:val="000000" w:themeColor="text1"/>
          <w:u w:val="single"/>
        </w:rPr>
      </w:pPr>
      <w:r w:rsidRPr="00B60342">
        <w:rPr>
          <w:b/>
          <w:bCs/>
          <w:color w:val="000000" w:themeColor="text1"/>
          <w:u w:val="single"/>
        </w:rPr>
        <w:t>Objet</w:t>
      </w:r>
    </w:p>
    <w:p w14:paraId="0B38BA37" w14:textId="579CF757" w:rsidR="00D7730D" w:rsidRPr="00B60342" w:rsidRDefault="00EF667B" w:rsidP="00D7730D">
      <w:pPr>
        <w:jc w:val="both"/>
        <w:rPr>
          <w:color w:val="000000" w:themeColor="text1"/>
        </w:rPr>
      </w:pPr>
      <w:r w:rsidRPr="00B60342">
        <w:rPr>
          <w:color w:val="000000" w:themeColor="text1"/>
        </w:rPr>
        <w:t xml:space="preserve">Cette phase a pour objectif de définir les premières orientations stratégiques </w:t>
      </w:r>
      <w:r w:rsidR="00A31DBC" w:rsidRPr="00B60342">
        <w:rPr>
          <w:color w:val="000000" w:themeColor="text1"/>
        </w:rPr>
        <w:t xml:space="preserve">et d’élaborer </w:t>
      </w:r>
      <w:r w:rsidR="0080409C" w:rsidRPr="00B60342">
        <w:rPr>
          <w:rFonts w:cs="Arial"/>
          <w:color w:val="000000" w:themeColor="text1"/>
          <w:szCs w:val="19"/>
          <w:shd w:val="clear" w:color="auto" w:fill="95B3D7" w:themeFill="accent1" w:themeFillTint="99"/>
        </w:rPr>
        <w:sym w:font="Wingdings" w:char="F071"/>
      </w:r>
      <w:r w:rsidR="0080409C" w:rsidRPr="0080409C">
        <w:rPr>
          <w:rFonts w:cs="Arial"/>
          <w:color w:val="000000" w:themeColor="text1"/>
          <w:szCs w:val="19"/>
        </w:rPr>
        <w:t xml:space="preserve"> </w:t>
      </w:r>
      <w:r w:rsidR="0080409C">
        <w:rPr>
          <w:color w:val="000000" w:themeColor="text1"/>
        </w:rPr>
        <w:t xml:space="preserve">un scénario d’aménagement </w:t>
      </w:r>
      <w:r w:rsidR="0080409C" w:rsidRPr="00B60342">
        <w:rPr>
          <w:rFonts w:cs="Arial"/>
          <w:color w:val="000000" w:themeColor="text1"/>
          <w:szCs w:val="19"/>
          <w:shd w:val="clear" w:color="auto" w:fill="95B3D7" w:themeFill="accent1" w:themeFillTint="99"/>
        </w:rPr>
        <w:sym w:font="Wingdings" w:char="F071"/>
      </w:r>
      <w:r w:rsidR="0080409C" w:rsidRPr="0080409C">
        <w:rPr>
          <w:rFonts w:cs="Arial"/>
          <w:color w:val="000000" w:themeColor="text1"/>
          <w:szCs w:val="19"/>
        </w:rPr>
        <w:t xml:space="preserve"> </w:t>
      </w:r>
      <w:r w:rsidR="0080409C" w:rsidRPr="00E5156B">
        <w:rPr>
          <w:color w:val="000000" w:themeColor="text1"/>
          <w:shd w:val="clear" w:color="auto" w:fill="95B3D7" w:themeFill="accent1" w:themeFillTint="99"/>
        </w:rPr>
        <w:t>X</w:t>
      </w:r>
      <w:r w:rsidR="0080409C">
        <w:rPr>
          <w:color w:val="000000" w:themeColor="text1"/>
        </w:rPr>
        <w:t xml:space="preserve"> scenar</w:t>
      </w:r>
      <w:r w:rsidR="00E5156B">
        <w:rPr>
          <w:color w:val="000000" w:themeColor="text1"/>
        </w:rPr>
        <w:t>ios</w:t>
      </w:r>
      <w:r w:rsidR="0080409C">
        <w:rPr>
          <w:color w:val="000000" w:themeColor="text1"/>
        </w:rPr>
        <w:t xml:space="preserve"> d’aménagement </w:t>
      </w:r>
      <w:r w:rsidR="00026CC1" w:rsidRPr="00B60342">
        <w:rPr>
          <w:rFonts w:cs="Arial"/>
          <w:color w:val="000000" w:themeColor="text1"/>
          <w:szCs w:val="19"/>
          <w:shd w:val="clear" w:color="auto" w:fill="95B3D7" w:themeFill="accent1" w:themeFillTint="99"/>
        </w:rPr>
        <w:sym w:font="Wingdings" w:char="F071"/>
      </w:r>
      <w:r w:rsidR="00026CC1" w:rsidRPr="0080409C">
        <w:rPr>
          <w:rFonts w:cs="Arial"/>
          <w:color w:val="000000" w:themeColor="text1"/>
          <w:szCs w:val="19"/>
        </w:rPr>
        <w:t xml:space="preserve"> </w:t>
      </w:r>
      <w:r w:rsidR="003147F6">
        <w:rPr>
          <w:color w:val="000000" w:themeColor="text1"/>
        </w:rPr>
        <w:t>un ou plusieurs</w:t>
      </w:r>
      <w:r w:rsidR="003147F6" w:rsidRPr="00B60342">
        <w:rPr>
          <w:color w:val="000000" w:themeColor="text1"/>
        </w:rPr>
        <w:t xml:space="preserve"> </w:t>
      </w:r>
      <w:r w:rsidR="00A31DBC" w:rsidRPr="00B60342">
        <w:rPr>
          <w:color w:val="000000" w:themeColor="text1"/>
        </w:rPr>
        <w:t>scénar</w:t>
      </w:r>
      <w:r w:rsidR="00E5156B">
        <w:rPr>
          <w:color w:val="000000" w:themeColor="text1"/>
        </w:rPr>
        <w:t>ios</w:t>
      </w:r>
      <w:r w:rsidR="00A31DBC" w:rsidRPr="00B60342">
        <w:rPr>
          <w:color w:val="000000" w:themeColor="text1"/>
        </w:rPr>
        <w:t xml:space="preserve"> d’aménagement en lien avec les éléments identifiés lors du diagnostic. </w:t>
      </w:r>
    </w:p>
    <w:p w14:paraId="30DAB5AD" w14:textId="65FE4BC2" w:rsidR="0047492A" w:rsidRPr="00B60342" w:rsidRDefault="0047492A" w:rsidP="0047492A">
      <w:pPr>
        <w:jc w:val="both"/>
        <w:rPr>
          <w:color w:val="000000" w:themeColor="text1"/>
        </w:rPr>
      </w:pPr>
      <w:r w:rsidRPr="00B60342">
        <w:rPr>
          <w:color w:val="000000" w:themeColor="text1"/>
        </w:rPr>
        <w:t xml:space="preserve">L’élaboration de cette analyse est conforme à la méthodologie proposée par le titulaire dans son offre, fondée sur </w:t>
      </w:r>
      <w:r w:rsidR="00766FA3" w:rsidRPr="00B60342">
        <w:rPr>
          <w:color w:val="000000" w:themeColor="text1"/>
        </w:rPr>
        <w:t>l</w:t>
      </w:r>
      <w:r w:rsidRPr="00B60342">
        <w:rPr>
          <w:color w:val="000000" w:themeColor="text1"/>
        </w:rPr>
        <w:t>es exigences minimales suivantes :</w:t>
      </w:r>
    </w:p>
    <w:p w14:paraId="13EC8B4D" w14:textId="22282361" w:rsidR="0047492A" w:rsidRPr="00B60342" w:rsidRDefault="0047492A" w:rsidP="0047492A">
      <w:pPr>
        <w:pStyle w:val="Paragraphedeliste"/>
        <w:numPr>
          <w:ilvl w:val="0"/>
          <w:numId w:val="41"/>
        </w:numPr>
        <w:jc w:val="both"/>
        <w:rPr>
          <w:color w:val="000000" w:themeColor="text1"/>
        </w:rPr>
      </w:pPr>
      <w:r w:rsidRPr="00B60342">
        <w:rPr>
          <w:color w:val="000000" w:themeColor="text1"/>
        </w:rPr>
        <w:t xml:space="preserve">Organiser les orientations stratégiques selon une échelle de criticité et de </w:t>
      </w:r>
      <w:r w:rsidR="00995E63" w:rsidRPr="00B60342">
        <w:rPr>
          <w:color w:val="000000" w:themeColor="text1"/>
        </w:rPr>
        <w:t>faisabilité technique</w:t>
      </w:r>
      <w:r w:rsidR="006E52CC" w:rsidRPr="00B60342">
        <w:rPr>
          <w:color w:val="000000" w:themeColor="text1"/>
        </w:rPr>
        <w:t xml:space="preserve">, </w:t>
      </w:r>
      <w:r w:rsidR="00995E63" w:rsidRPr="00B60342">
        <w:rPr>
          <w:color w:val="000000" w:themeColor="text1"/>
        </w:rPr>
        <w:t>financière</w:t>
      </w:r>
      <w:r w:rsidR="006E52CC" w:rsidRPr="00B60342">
        <w:rPr>
          <w:color w:val="000000" w:themeColor="text1"/>
        </w:rPr>
        <w:t xml:space="preserve"> et réglementaire</w:t>
      </w:r>
      <w:r w:rsidR="00995E63" w:rsidRPr="00B60342">
        <w:rPr>
          <w:color w:val="000000" w:themeColor="text1"/>
        </w:rPr>
        <w:t> ;</w:t>
      </w:r>
    </w:p>
    <w:p w14:paraId="45FBEAE5" w14:textId="6B807465" w:rsidR="007B6ABE" w:rsidRPr="00B60342" w:rsidRDefault="00995E63" w:rsidP="0047492A">
      <w:pPr>
        <w:pStyle w:val="Paragraphedeliste"/>
        <w:numPr>
          <w:ilvl w:val="0"/>
          <w:numId w:val="41"/>
        </w:numPr>
        <w:jc w:val="both"/>
        <w:rPr>
          <w:color w:val="000000" w:themeColor="text1"/>
        </w:rPr>
      </w:pPr>
      <w:r w:rsidRPr="00B60342">
        <w:rPr>
          <w:color w:val="000000" w:themeColor="text1"/>
        </w:rPr>
        <w:t>Formaliser spatialement la stratégie d’aménagement</w:t>
      </w:r>
    </w:p>
    <w:p w14:paraId="1A4C8495" w14:textId="50E94BC1" w:rsidR="00D7730D" w:rsidRPr="00B60342" w:rsidRDefault="0047492A" w:rsidP="00D7730D">
      <w:pPr>
        <w:spacing w:after="120"/>
        <w:jc w:val="both"/>
        <w:rPr>
          <w:b/>
          <w:bCs/>
          <w:color w:val="000000" w:themeColor="text1"/>
          <w:u w:val="single"/>
        </w:rPr>
      </w:pPr>
      <w:r w:rsidRPr="00B60342">
        <w:rPr>
          <w:b/>
          <w:bCs/>
          <w:color w:val="000000" w:themeColor="text1"/>
          <w:u w:val="single"/>
        </w:rPr>
        <w:t>Livrables</w:t>
      </w:r>
    </w:p>
    <w:p w14:paraId="01610F53" w14:textId="22F73438" w:rsidR="001F7217" w:rsidRPr="00B60342" w:rsidRDefault="001F7217" w:rsidP="00AE6B81">
      <w:pPr>
        <w:pStyle w:val="Paragraphedeliste"/>
        <w:numPr>
          <w:ilvl w:val="0"/>
          <w:numId w:val="41"/>
        </w:numPr>
        <w:jc w:val="both"/>
        <w:rPr>
          <w:color w:val="000000" w:themeColor="text1"/>
        </w:rPr>
      </w:pPr>
      <w:r w:rsidRPr="00B60342">
        <w:rPr>
          <w:color w:val="000000" w:themeColor="text1"/>
        </w:rPr>
        <w:t xml:space="preserve">Document de synthèse de l’ensemble des scénarios d’aménagement proposés. </w:t>
      </w:r>
    </w:p>
    <w:p w14:paraId="04870F3D" w14:textId="15F9BAF6" w:rsidR="00D7730D" w:rsidRPr="00B60342" w:rsidRDefault="00AE6B81" w:rsidP="00AE6B81">
      <w:pPr>
        <w:pStyle w:val="Paragraphedeliste"/>
        <w:numPr>
          <w:ilvl w:val="0"/>
          <w:numId w:val="41"/>
        </w:numPr>
        <w:jc w:val="both"/>
        <w:rPr>
          <w:color w:val="000000" w:themeColor="text1"/>
        </w:rPr>
      </w:pPr>
      <w:r w:rsidRPr="00B60342">
        <w:rPr>
          <w:color w:val="000000" w:themeColor="text1"/>
        </w:rPr>
        <w:t xml:space="preserve">Première version </w:t>
      </w:r>
      <w:r w:rsidR="00761644" w:rsidRPr="00B60342">
        <w:rPr>
          <w:color w:val="000000" w:themeColor="text1"/>
        </w:rPr>
        <w:t>du plan-guide</w:t>
      </w:r>
      <w:r w:rsidR="00FB512A">
        <w:rPr>
          <w:color w:val="000000" w:themeColor="text1"/>
        </w:rPr>
        <w:t xml:space="preserve"> communal</w:t>
      </w:r>
      <w:r w:rsidR="00995E63" w:rsidRPr="00B60342">
        <w:rPr>
          <w:color w:val="000000" w:themeColor="text1"/>
        </w:rPr>
        <w:t xml:space="preserve"> (Echelle 1/1000)</w:t>
      </w:r>
      <w:r w:rsidR="001F7217" w:rsidRPr="00B60342">
        <w:rPr>
          <w:color w:val="000000" w:themeColor="text1"/>
        </w:rPr>
        <w:t xml:space="preserve"> </w:t>
      </w:r>
    </w:p>
    <w:p w14:paraId="742850CA" w14:textId="102C1E41" w:rsidR="00685CFE" w:rsidRPr="00B60342" w:rsidRDefault="00685CFE" w:rsidP="00AE6B81">
      <w:pPr>
        <w:pStyle w:val="Paragraphedeliste"/>
        <w:numPr>
          <w:ilvl w:val="0"/>
          <w:numId w:val="41"/>
        </w:numPr>
        <w:jc w:val="both"/>
        <w:rPr>
          <w:color w:val="000000" w:themeColor="text1"/>
        </w:rPr>
      </w:pPr>
      <w:r w:rsidRPr="00B60342">
        <w:rPr>
          <w:color w:val="000000" w:themeColor="text1"/>
        </w:rPr>
        <w:t>Mise à jour du calendrier opérationnel de la mission</w:t>
      </w:r>
    </w:p>
    <w:p w14:paraId="2F560E97" w14:textId="386BB43F" w:rsidR="00CE487C" w:rsidRPr="00B60342" w:rsidRDefault="00CE487C" w:rsidP="00CE487C">
      <w:pPr>
        <w:jc w:val="both"/>
        <w:rPr>
          <w:color w:val="000000" w:themeColor="text1"/>
        </w:rPr>
      </w:pPr>
      <w:r w:rsidRPr="00B60342">
        <w:rPr>
          <w:color w:val="000000" w:themeColor="text1"/>
        </w:rPr>
        <w:t>L</w:t>
      </w:r>
      <w:r w:rsidR="00FB512A">
        <w:rPr>
          <w:color w:val="000000" w:themeColor="text1"/>
        </w:rPr>
        <w:t>a première version du</w:t>
      </w:r>
      <w:r w:rsidRPr="00B60342">
        <w:rPr>
          <w:color w:val="000000" w:themeColor="text1"/>
        </w:rPr>
        <w:t xml:space="preserve"> plan-guide </w:t>
      </w:r>
      <w:r w:rsidR="00766FA3" w:rsidRPr="00B60342">
        <w:rPr>
          <w:color w:val="000000" w:themeColor="text1"/>
        </w:rPr>
        <w:t xml:space="preserve">fait l’objet d’une présentation aux élus de la commune. </w:t>
      </w:r>
    </w:p>
    <w:p w14:paraId="7C3332D9" w14:textId="1723558D" w:rsidR="00D7730D" w:rsidRPr="00B60342" w:rsidRDefault="00D7730D" w:rsidP="00D7730D">
      <w:pPr>
        <w:pStyle w:val="Titre4"/>
      </w:pPr>
      <w:r w:rsidRPr="00B60342">
        <w:t xml:space="preserve">Article 3.3 – Phase 3 : </w:t>
      </w:r>
      <w:r w:rsidR="00A21CF2" w:rsidRPr="00B60342">
        <w:t xml:space="preserve">Finalisation du </w:t>
      </w:r>
      <w:r w:rsidR="00CF151F">
        <w:t>p</w:t>
      </w:r>
      <w:r w:rsidRPr="00B60342">
        <w:t>lan-guide</w:t>
      </w:r>
      <w:r w:rsidR="0023684F">
        <w:t xml:space="preserve"> communal</w:t>
      </w:r>
    </w:p>
    <w:p w14:paraId="64D891DD" w14:textId="742973D0" w:rsidR="00577A7D" w:rsidRPr="00B60342" w:rsidRDefault="00577A7D" w:rsidP="00577A7D">
      <w:pPr>
        <w:spacing w:after="120"/>
        <w:jc w:val="both"/>
        <w:rPr>
          <w:b/>
          <w:bCs/>
          <w:color w:val="000000" w:themeColor="text1"/>
          <w:u w:val="single"/>
        </w:rPr>
      </w:pPr>
      <w:r w:rsidRPr="00B60342">
        <w:rPr>
          <w:b/>
          <w:bCs/>
          <w:color w:val="000000" w:themeColor="text1"/>
          <w:u w:val="single"/>
        </w:rPr>
        <w:t>Objet</w:t>
      </w:r>
    </w:p>
    <w:p w14:paraId="7C13B3AC" w14:textId="671B86CD" w:rsidR="00766FA3" w:rsidRPr="00B60342" w:rsidRDefault="00577A7D" w:rsidP="00577A7D">
      <w:pPr>
        <w:jc w:val="both"/>
        <w:rPr>
          <w:color w:val="000000" w:themeColor="text1"/>
        </w:rPr>
      </w:pPr>
      <w:r w:rsidRPr="00B60342">
        <w:rPr>
          <w:color w:val="000000" w:themeColor="text1"/>
        </w:rPr>
        <w:t xml:space="preserve">Cette phase a pour objectif </w:t>
      </w:r>
      <w:r w:rsidR="00766FA3" w:rsidRPr="00B60342">
        <w:rPr>
          <w:color w:val="000000" w:themeColor="text1"/>
        </w:rPr>
        <w:t>de valider le plan</w:t>
      </w:r>
      <w:r w:rsidR="00FB512A">
        <w:rPr>
          <w:color w:val="000000" w:themeColor="text1"/>
        </w:rPr>
        <w:t>-</w:t>
      </w:r>
      <w:r w:rsidR="00766FA3" w:rsidRPr="00B60342">
        <w:rPr>
          <w:color w:val="000000" w:themeColor="text1"/>
        </w:rPr>
        <w:t>guide</w:t>
      </w:r>
      <w:r w:rsidR="00FB512A">
        <w:rPr>
          <w:color w:val="000000" w:themeColor="text1"/>
        </w:rPr>
        <w:t xml:space="preserve"> communal</w:t>
      </w:r>
      <w:r w:rsidR="00766FA3" w:rsidRPr="00B60342">
        <w:rPr>
          <w:color w:val="000000" w:themeColor="text1"/>
        </w:rPr>
        <w:t xml:space="preserve">, accompagné des éléments de détails sur </w:t>
      </w:r>
      <w:r w:rsidR="00F16189" w:rsidRPr="00B60342">
        <w:rPr>
          <w:color w:val="000000" w:themeColor="text1"/>
        </w:rPr>
        <w:t>chaque composante du projet global d’aménagement</w:t>
      </w:r>
      <w:r w:rsidR="00F577EF" w:rsidRPr="00B60342">
        <w:rPr>
          <w:color w:val="000000" w:themeColor="text1"/>
        </w:rPr>
        <w:t>, et de permettre son appropriation par les élus et les citoyens</w:t>
      </w:r>
      <w:r w:rsidR="00F16189" w:rsidRPr="00B60342">
        <w:rPr>
          <w:color w:val="000000" w:themeColor="text1"/>
        </w:rPr>
        <w:t xml:space="preserve">. </w:t>
      </w:r>
    </w:p>
    <w:p w14:paraId="41DDCBEC" w14:textId="5950B323" w:rsidR="00577A7D" w:rsidRPr="00B60342" w:rsidRDefault="00B51401" w:rsidP="00577A7D">
      <w:pPr>
        <w:jc w:val="both"/>
        <w:rPr>
          <w:color w:val="000000" w:themeColor="text1"/>
        </w:rPr>
      </w:pPr>
      <w:r w:rsidRPr="00B60342">
        <w:rPr>
          <w:color w:val="000000" w:themeColor="text1"/>
        </w:rPr>
        <w:t>La réalisation de cette phase</w:t>
      </w:r>
      <w:r w:rsidR="00577A7D" w:rsidRPr="00B60342">
        <w:rPr>
          <w:color w:val="000000" w:themeColor="text1"/>
        </w:rPr>
        <w:t xml:space="preserve"> est conforme à la méthodologie proposée par le titulaire dans son offre, fondée sur </w:t>
      </w:r>
      <w:r w:rsidR="00766FA3" w:rsidRPr="00B60342">
        <w:rPr>
          <w:color w:val="000000" w:themeColor="text1"/>
        </w:rPr>
        <w:t>l</w:t>
      </w:r>
      <w:r w:rsidR="00577A7D" w:rsidRPr="00B60342">
        <w:rPr>
          <w:color w:val="000000" w:themeColor="text1"/>
        </w:rPr>
        <w:t>es exigences minimales suivantes :</w:t>
      </w:r>
    </w:p>
    <w:p w14:paraId="283D973B" w14:textId="6337823D" w:rsidR="00B03735" w:rsidRPr="00B60342" w:rsidRDefault="009D31FD" w:rsidP="00577A7D">
      <w:pPr>
        <w:pStyle w:val="Paragraphedeliste"/>
        <w:numPr>
          <w:ilvl w:val="0"/>
          <w:numId w:val="41"/>
        </w:numPr>
        <w:jc w:val="both"/>
        <w:rPr>
          <w:color w:val="000000" w:themeColor="text1"/>
        </w:rPr>
      </w:pPr>
      <w:r w:rsidRPr="00B60342">
        <w:rPr>
          <w:color w:val="000000" w:themeColor="text1"/>
        </w:rPr>
        <w:t>I</w:t>
      </w:r>
      <w:r w:rsidR="0099418B" w:rsidRPr="00B60342">
        <w:rPr>
          <w:color w:val="000000" w:themeColor="text1"/>
        </w:rPr>
        <w:t xml:space="preserve">dentifier pour </w:t>
      </w:r>
      <w:r w:rsidR="00F16189" w:rsidRPr="00B60342">
        <w:rPr>
          <w:color w:val="000000" w:themeColor="text1"/>
        </w:rPr>
        <w:t xml:space="preserve">chaque composante du projet formalisée dans le plan : </w:t>
      </w:r>
      <w:r w:rsidR="0099418B" w:rsidRPr="00B60342">
        <w:rPr>
          <w:color w:val="000000" w:themeColor="text1"/>
        </w:rPr>
        <w:t xml:space="preserve">les enjeux, </w:t>
      </w:r>
      <w:r w:rsidR="00F16189" w:rsidRPr="00B60342">
        <w:rPr>
          <w:color w:val="000000" w:themeColor="text1"/>
        </w:rPr>
        <w:t xml:space="preserve">les détails du projet, </w:t>
      </w:r>
      <w:r w:rsidR="0099418B" w:rsidRPr="00B60342">
        <w:rPr>
          <w:color w:val="000000" w:themeColor="text1"/>
        </w:rPr>
        <w:t xml:space="preserve">les </w:t>
      </w:r>
      <w:r w:rsidR="00F16189" w:rsidRPr="00B60342">
        <w:rPr>
          <w:color w:val="000000" w:themeColor="text1"/>
        </w:rPr>
        <w:t xml:space="preserve">impacts budgétaires et/ou réglementaires, </w:t>
      </w:r>
      <w:r w:rsidR="00026CC1">
        <w:rPr>
          <w:color w:val="000000" w:themeColor="text1"/>
        </w:rPr>
        <w:t>les actions</w:t>
      </w:r>
      <w:r w:rsidR="00F16189" w:rsidRPr="00B60342">
        <w:rPr>
          <w:color w:val="000000" w:themeColor="text1"/>
        </w:rPr>
        <w:t xml:space="preserve"> à mettre en œuvre, la temporalité</w:t>
      </w:r>
      <w:r w:rsidR="00B3025F" w:rsidRPr="00B60342">
        <w:rPr>
          <w:color w:val="000000" w:themeColor="text1"/>
        </w:rPr>
        <w:t>, les points de vigilance pour la commune</w:t>
      </w:r>
    </w:p>
    <w:p w14:paraId="458D5325" w14:textId="6634DFDD" w:rsidR="001F7217" w:rsidRPr="00B60342" w:rsidRDefault="001F7217" w:rsidP="001F7217">
      <w:pPr>
        <w:pStyle w:val="Paragraphedeliste"/>
        <w:numPr>
          <w:ilvl w:val="0"/>
          <w:numId w:val="41"/>
        </w:numPr>
        <w:rPr>
          <w:color w:val="000000" w:themeColor="text1"/>
        </w:rPr>
      </w:pPr>
      <w:r w:rsidRPr="00B60342">
        <w:rPr>
          <w:color w:val="000000" w:themeColor="text1"/>
        </w:rPr>
        <w:t xml:space="preserve">Rendre compréhensible et intelligible le plan-guide </w:t>
      </w:r>
      <w:r w:rsidR="00DF5F98">
        <w:rPr>
          <w:color w:val="000000" w:themeColor="text1"/>
        </w:rPr>
        <w:t xml:space="preserve">communal </w:t>
      </w:r>
      <w:r w:rsidRPr="00B60342">
        <w:rPr>
          <w:color w:val="000000" w:themeColor="text1"/>
        </w:rPr>
        <w:t>par les tiers (élu, citoyen, partenaires) qui n’ont pas participé à son élaboration</w:t>
      </w:r>
    </w:p>
    <w:p w14:paraId="438B9A19" w14:textId="77777777" w:rsidR="00577A7D" w:rsidRPr="00B60342" w:rsidRDefault="00577A7D" w:rsidP="00577A7D">
      <w:pPr>
        <w:spacing w:after="120"/>
        <w:jc w:val="both"/>
        <w:rPr>
          <w:b/>
          <w:bCs/>
          <w:color w:val="000000" w:themeColor="text1"/>
          <w:u w:val="single"/>
        </w:rPr>
      </w:pPr>
      <w:r w:rsidRPr="00B60342">
        <w:rPr>
          <w:b/>
          <w:bCs/>
          <w:color w:val="000000" w:themeColor="text1"/>
          <w:u w:val="single"/>
        </w:rPr>
        <w:lastRenderedPageBreak/>
        <w:t>Livrables</w:t>
      </w:r>
    </w:p>
    <w:p w14:paraId="5DA38021" w14:textId="7A4EA92A" w:rsidR="00577A7D" w:rsidRPr="00B60342" w:rsidRDefault="00B51401" w:rsidP="00577A7D">
      <w:pPr>
        <w:pStyle w:val="Paragraphedeliste"/>
        <w:numPr>
          <w:ilvl w:val="0"/>
          <w:numId w:val="41"/>
        </w:numPr>
        <w:jc w:val="both"/>
        <w:rPr>
          <w:color w:val="000000" w:themeColor="text1"/>
        </w:rPr>
      </w:pPr>
      <w:r w:rsidRPr="00B60342">
        <w:rPr>
          <w:color w:val="000000" w:themeColor="text1"/>
        </w:rPr>
        <w:t>Version finale du plan-guide</w:t>
      </w:r>
      <w:r w:rsidR="00995E63" w:rsidRPr="00B60342">
        <w:rPr>
          <w:color w:val="000000" w:themeColor="text1"/>
        </w:rPr>
        <w:t xml:space="preserve"> </w:t>
      </w:r>
      <w:r w:rsidR="00DF5F98">
        <w:rPr>
          <w:color w:val="000000" w:themeColor="text1"/>
        </w:rPr>
        <w:t xml:space="preserve">communal </w:t>
      </w:r>
      <w:r w:rsidR="00995E63" w:rsidRPr="00B60342">
        <w:rPr>
          <w:color w:val="000000" w:themeColor="text1"/>
        </w:rPr>
        <w:t xml:space="preserve">(Echelle </w:t>
      </w:r>
      <w:r w:rsidR="0092297C">
        <w:rPr>
          <w:color w:val="000000" w:themeColor="text1"/>
        </w:rPr>
        <w:t xml:space="preserve">du </w:t>
      </w:r>
      <w:r w:rsidR="004D0986" w:rsidRPr="00B60342">
        <w:rPr>
          <w:color w:val="000000" w:themeColor="text1"/>
        </w:rPr>
        <w:t xml:space="preserve">1/1000 au </w:t>
      </w:r>
      <w:r w:rsidR="00995E63" w:rsidRPr="00B60342">
        <w:rPr>
          <w:color w:val="000000" w:themeColor="text1"/>
        </w:rPr>
        <w:t>1/500)</w:t>
      </w:r>
    </w:p>
    <w:p w14:paraId="33BC055D" w14:textId="441D6710" w:rsidR="005C096B" w:rsidRDefault="005C096B" w:rsidP="00577A7D">
      <w:pPr>
        <w:pStyle w:val="Paragraphedeliste"/>
        <w:numPr>
          <w:ilvl w:val="0"/>
          <w:numId w:val="41"/>
        </w:numPr>
        <w:jc w:val="both"/>
        <w:rPr>
          <w:color w:val="000000" w:themeColor="text1"/>
        </w:rPr>
      </w:pPr>
      <w:r>
        <w:rPr>
          <w:color w:val="000000" w:themeColor="text1"/>
        </w:rPr>
        <w:t>Cahier</w:t>
      </w:r>
      <w:r w:rsidR="009D31FD" w:rsidRPr="00B60342">
        <w:rPr>
          <w:color w:val="000000" w:themeColor="text1"/>
        </w:rPr>
        <w:t xml:space="preserve"> de f</w:t>
      </w:r>
      <w:r w:rsidR="00B51401" w:rsidRPr="00B60342">
        <w:rPr>
          <w:color w:val="000000" w:themeColor="text1"/>
        </w:rPr>
        <w:t>iches</w:t>
      </w:r>
      <w:r w:rsidR="00B03735" w:rsidRPr="00B60342">
        <w:rPr>
          <w:color w:val="000000" w:themeColor="text1"/>
        </w:rPr>
        <w:t xml:space="preserve"> opérationnelles</w:t>
      </w:r>
      <w:r w:rsidR="009D31FD" w:rsidRPr="00B60342">
        <w:rPr>
          <w:color w:val="000000" w:themeColor="text1"/>
        </w:rPr>
        <w:t xml:space="preserve"> détaillant les éléments du projet d’aménagement</w:t>
      </w:r>
      <w:r w:rsidR="00E5156B">
        <w:rPr>
          <w:color w:val="000000" w:themeColor="text1"/>
        </w:rPr>
        <w:t> :</w:t>
      </w:r>
    </w:p>
    <w:p w14:paraId="61C4F056" w14:textId="1CA884CC" w:rsidR="005C096B" w:rsidRDefault="005C096B" w:rsidP="005C096B">
      <w:pPr>
        <w:pStyle w:val="Paragraphedeliste"/>
        <w:numPr>
          <w:ilvl w:val="1"/>
          <w:numId w:val="41"/>
        </w:numPr>
        <w:jc w:val="both"/>
        <w:rPr>
          <w:color w:val="000000" w:themeColor="text1"/>
        </w:rPr>
      </w:pPr>
      <w:r>
        <w:rPr>
          <w:color w:val="000000" w:themeColor="text1"/>
        </w:rPr>
        <w:t xml:space="preserve">Entre </w:t>
      </w:r>
      <w:r w:rsidR="00C32863">
        <w:rPr>
          <w:color w:val="000000" w:themeColor="text1"/>
        </w:rPr>
        <w:t>20 et 30</w:t>
      </w:r>
      <w:r>
        <w:rPr>
          <w:color w:val="000000" w:themeColor="text1"/>
        </w:rPr>
        <w:t xml:space="preserve"> fiches opérationnelles présentant les grand</w:t>
      </w:r>
      <w:r w:rsidR="002B49B3">
        <w:rPr>
          <w:color w:val="000000" w:themeColor="text1"/>
        </w:rPr>
        <w:t>e</w:t>
      </w:r>
      <w:r>
        <w:rPr>
          <w:color w:val="000000" w:themeColor="text1"/>
        </w:rPr>
        <w:t xml:space="preserve">s lignes, en termes </w:t>
      </w:r>
      <w:r w:rsidR="000030B7">
        <w:rPr>
          <w:color w:val="000000" w:themeColor="text1"/>
        </w:rPr>
        <w:t>programmatique</w:t>
      </w:r>
      <w:r>
        <w:rPr>
          <w:color w:val="000000" w:themeColor="text1"/>
        </w:rPr>
        <w:t xml:space="preserve"> et d’intention spatiale, des divers points de projets identifiés par le plan</w:t>
      </w:r>
      <w:r w:rsidR="00DF5F98">
        <w:rPr>
          <w:color w:val="000000" w:themeColor="text1"/>
        </w:rPr>
        <w:t>-</w:t>
      </w:r>
      <w:r>
        <w:rPr>
          <w:color w:val="000000" w:themeColor="text1"/>
        </w:rPr>
        <w:t>guide</w:t>
      </w:r>
      <w:r w:rsidR="00DF5F98">
        <w:rPr>
          <w:color w:val="000000" w:themeColor="text1"/>
        </w:rPr>
        <w:t xml:space="preserve"> communal</w:t>
      </w:r>
      <w:r>
        <w:rPr>
          <w:color w:val="000000" w:themeColor="text1"/>
        </w:rPr>
        <w:t xml:space="preserve"> (projets d’aménagement urbain ou de travaux)</w:t>
      </w:r>
    </w:p>
    <w:p w14:paraId="60A6676C" w14:textId="437ED619" w:rsidR="00C32863" w:rsidRDefault="005C096B" w:rsidP="00C32863">
      <w:pPr>
        <w:pStyle w:val="Paragraphedeliste"/>
        <w:numPr>
          <w:ilvl w:val="1"/>
          <w:numId w:val="41"/>
        </w:numPr>
        <w:jc w:val="both"/>
        <w:rPr>
          <w:color w:val="000000" w:themeColor="text1"/>
        </w:rPr>
      </w:pPr>
      <w:r>
        <w:rPr>
          <w:color w:val="000000" w:themeColor="text1"/>
        </w:rPr>
        <w:t xml:space="preserve">Parmi ces fiches </w:t>
      </w:r>
      <w:r w:rsidR="00E66D73">
        <w:rPr>
          <w:color w:val="000000" w:themeColor="text1"/>
        </w:rPr>
        <w:t>1/3</w:t>
      </w:r>
      <w:r>
        <w:rPr>
          <w:color w:val="000000" w:themeColor="text1"/>
        </w:rPr>
        <w:t xml:space="preserve"> d’entre elles présenteront un caractère plus détaillé </w:t>
      </w:r>
      <w:r w:rsidR="000030B7">
        <w:rPr>
          <w:color w:val="000000" w:themeColor="text1"/>
        </w:rPr>
        <w:t>et contiendront, outre les éléments qui précèdent : estimation, présentation de références comparables, schéma de principe.</w:t>
      </w:r>
    </w:p>
    <w:p w14:paraId="769CFAB3" w14:textId="57513CD2" w:rsidR="0011663C" w:rsidRDefault="0011663C" w:rsidP="00E5156B">
      <w:pPr>
        <w:rPr>
          <w:color w:val="000000" w:themeColor="text1"/>
        </w:rPr>
      </w:pPr>
      <w:r>
        <w:rPr>
          <w:color w:val="000000" w:themeColor="text1"/>
        </w:rPr>
        <w:t>L’acheteur prévoit l’organisation d’une réunion publique de présentation du plan</w:t>
      </w:r>
      <w:r w:rsidR="00E5156B">
        <w:rPr>
          <w:color w:val="000000" w:themeColor="text1"/>
        </w:rPr>
        <w:t>-</w:t>
      </w:r>
      <w:r>
        <w:rPr>
          <w:color w:val="000000" w:themeColor="text1"/>
        </w:rPr>
        <w:t xml:space="preserve">guide </w:t>
      </w:r>
      <w:r w:rsidR="00E5156B">
        <w:rPr>
          <w:color w:val="000000" w:themeColor="text1"/>
        </w:rPr>
        <w:t xml:space="preserve">communal </w:t>
      </w:r>
      <w:r>
        <w:rPr>
          <w:color w:val="000000" w:themeColor="text1"/>
        </w:rPr>
        <w:t>pour l</w:t>
      </w:r>
      <w:r w:rsidR="00E5156B">
        <w:rPr>
          <w:color w:val="000000" w:themeColor="text1"/>
        </w:rPr>
        <w:t>a</w:t>
      </w:r>
      <w:r>
        <w:rPr>
          <w:color w:val="000000" w:themeColor="text1"/>
        </w:rPr>
        <w:t>que</w:t>
      </w:r>
      <w:r w:rsidR="00E5156B">
        <w:rPr>
          <w:color w:val="000000" w:themeColor="text1"/>
        </w:rPr>
        <w:t>l</w:t>
      </w:r>
      <w:r>
        <w:rPr>
          <w:color w:val="000000" w:themeColor="text1"/>
        </w:rPr>
        <w:t>l</w:t>
      </w:r>
      <w:r w:rsidR="00E5156B">
        <w:rPr>
          <w:color w:val="000000" w:themeColor="text1"/>
        </w:rPr>
        <w:t>e</w:t>
      </w:r>
      <w:r>
        <w:rPr>
          <w:color w:val="000000" w:themeColor="text1"/>
        </w:rPr>
        <w:t xml:space="preserve"> le titulaire l’assistera dans la préparation documentaire et l’animation. </w:t>
      </w:r>
      <w:bookmarkStart w:id="7" w:name="_Toc528596377"/>
      <w:bookmarkStart w:id="8" w:name="_Toc19261799"/>
      <w:bookmarkStart w:id="9" w:name="_Toc73013616"/>
    </w:p>
    <w:p w14:paraId="55F311BD" w14:textId="77777777" w:rsidR="00E5156B" w:rsidRDefault="00E5156B" w:rsidP="009C6686">
      <w:pPr>
        <w:pStyle w:val="Titre2"/>
      </w:pPr>
    </w:p>
    <w:p w14:paraId="27818251" w14:textId="0FFF7332" w:rsidR="009C6686" w:rsidRPr="00B60342" w:rsidRDefault="009C6686" w:rsidP="009C6686">
      <w:pPr>
        <w:pStyle w:val="Titre2"/>
      </w:pPr>
      <w:r w:rsidRPr="00B60342">
        <w:t xml:space="preserve">Article 4 – PILOTAGE de la mission </w:t>
      </w:r>
    </w:p>
    <w:p w14:paraId="5B0E5130" w14:textId="09E165B2" w:rsidR="009C6686" w:rsidRPr="00B60342" w:rsidRDefault="009C6686" w:rsidP="009C6686">
      <w:pPr>
        <w:pStyle w:val="Titre4"/>
        <w:jc w:val="both"/>
      </w:pPr>
      <w:r w:rsidRPr="00B60342">
        <w:t xml:space="preserve">Article 4.1 – </w:t>
      </w:r>
      <w:r w:rsidR="007B6ABE" w:rsidRPr="00B60342">
        <w:t>Structure de pilotage</w:t>
      </w:r>
    </w:p>
    <w:p w14:paraId="2472D8D1" w14:textId="33041B7F" w:rsidR="00D57BA6" w:rsidRPr="00B60342" w:rsidRDefault="00D57BA6" w:rsidP="006363D1">
      <w:pPr>
        <w:spacing w:after="120"/>
        <w:jc w:val="both"/>
        <w:rPr>
          <w:color w:val="000000" w:themeColor="text1"/>
        </w:rPr>
      </w:pPr>
      <w:r w:rsidRPr="00B60342">
        <w:rPr>
          <w:rFonts w:cs="Arial"/>
          <w:color w:val="000000" w:themeColor="text1"/>
          <w:szCs w:val="19"/>
          <w:shd w:val="clear" w:color="auto" w:fill="95B3D7" w:themeFill="accent1" w:themeFillTint="99"/>
        </w:rPr>
        <w:sym w:font="Wingdings" w:char="F071"/>
      </w:r>
      <w:r w:rsidRPr="00B60342">
        <w:rPr>
          <w:rFonts w:cs="Arial"/>
          <w:color w:val="000000" w:themeColor="text1"/>
          <w:szCs w:val="19"/>
        </w:rPr>
        <w:t xml:space="preserve"> </w:t>
      </w:r>
      <w:r w:rsidR="006363D1" w:rsidRPr="00B60342">
        <w:rPr>
          <w:color w:val="000000" w:themeColor="text1"/>
        </w:rPr>
        <w:t>L</w:t>
      </w:r>
      <w:r w:rsidRPr="00B60342">
        <w:rPr>
          <w:color w:val="000000" w:themeColor="text1"/>
        </w:rPr>
        <w:t xml:space="preserve">es instances de pilotage sont celles proposées par le titulaire dans son offre, sous réserve d’ajustements </w:t>
      </w:r>
      <w:r w:rsidR="00FF24AF" w:rsidRPr="00B60342">
        <w:rPr>
          <w:color w:val="000000" w:themeColor="text1"/>
        </w:rPr>
        <w:t xml:space="preserve">validés </w:t>
      </w:r>
      <w:r w:rsidRPr="00B60342">
        <w:rPr>
          <w:color w:val="000000" w:themeColor="text1"/>
        </w:rPr>
        <w:t xml:space="preserve">lors de la </w:t>
      </w:r>
      <w:r w:rsidR="00C32863">
        <w:rPr>
          <w:color w:val="000000" w:themeColor="text1"/>
        </w:rPr>
        <w:t xml:space="preserve">réunion de lancement. </w:t>
      </w:r>
    </w:p>
    <w:p w14:paraId="1A36C798" w14:textId="7283D51E" w:rsidR="00D57BA6" w:rsidRPr="00B60342" w:rsidRDefault="00D57BA6" w:rsidP="006363D1">
      <w:pPr>
        <w:spacing w:after="120"/>
        <w:jc w:val="both"/>
        <w:rPr>
          <w:color w:val="000000" w:themeColor="text1"/>
        </w:rPr>
      </w:pPr>
      <w:r w:rsidRPr="00B60342">
        <w:rPr>
          <w:rFonts w:cs="Arial"/>
          <w:color w:val="000000" w:themeColor="text1"/>
          <w:szCs w:val="19"/>
          <w:shd w:val="clear" w:color="auto" w:fill="95B3D7" w:themeFill="accent1" w:themeFillTint="99"/>
        </w:rPr>
        <w:sym w:font="Wingdings" w:char="F071"/>
      </w:r>
      <w:r w:rsidRPr="00B60342">
        <w:rPr>
          <w:rFonts w:cs="Arial"/>
          <w:color w:val="000000" w:themeColor="text1"/>
          <w:szCs w:val="19"/>
        </w:rPr>
        <w:t xml:space="preserve"> </w:t>
      </w:r>
      <w:r w:rsidRPr="00B60342">
        <w:rPr>
          <w:color w:val="000000" w:themeColor="text1"/>
        </w:rPr>
        <w:t xml:space="preserve">Le titulaire participera et contribuera à l’animation des instances de pilotage définies de la manière suivante : </w:t>
      </w:r>
    </w:p>
    <w:p w14:paraId="7E6850C6" w14:textId="6559759F" w:rsidR="00D57BA6" w:rsidRPr="00B60342" w:rsidRDefault="00D57BA6" w:rsidP="00D57BA6">
      <w:pPr>
        <w:numPr>
          <w:ilvl w:val="0"/>
          <w:numId w:val="9"/>
        </w:numPr>
        <w:spacing w:after="0" w:line="240" w:lineRule="auto"/>
        <w:jc w:val="both"/>
        <w:rPr>
          <w:color w:val="000000" w:themeColor="text1"/>
          <w:szCs w:val="19"/>
        </w:rPr>
      </w:pPr>
      <w:r w:rsidRPr="00B60342">
        <w:rPr>
          <w:color w:val="000000" w:themeColor="text1"/>
          <w:szCs w:val="19"/>
        </w:rPr>
        <w:t xml:space="preserve">Un comité de pilotage dédié </w:t>
      </w:r>
      <w:r w:rsidR="0023684F">
        <w:rPr>
          <w:color w:val="000000" w:themeColor="text1"/>
          <w:szCs w:val="19"/>
        </w:rPr>
        <w:t>pour</w:t>
      </w:r>
      <w:r w:rsidRPr="00B60342">
        <w:rPr>
          <w:color w:val="000000" w:themeColor="text1"/>
          <w:szCs w:val="19"/>
        </w:rPr>
        <w:t xml:space="preserve"> orienter</w:t>
      </w:r>
      <w:r w:rsidR="0023684F">
        <w:rPr>
          <w:color w:val="000000" w:themeColor="text1"/>
          <w:szCs w:val="19"/>
        </w:rPr>
        <w:t xml:space="preserve">, </w:t>
      </w:r>
      <w:r w:rsidRPr="00B60342">
        <w:rPr>
          <w:color w:val="000000" w:themeColor="text1"/>
          <w:szCs w:val="19"/>
        </w:rPr>
        <w:t>piloter la démarche</w:t>
      </w:r>
      <w:r w:rsidR="0023684F">
        <w:rPr>
          <w:color w:val="000000" w:themeColor="text1"/>
          <w:szCs w:val="19"/>
        </w:rPr>
        <w:t xml:space="preserve"> et</w:t>
      </w:r>
      <w:r w:rsidR="00CF151F">
        <w:rPr>
          <w:color w:val="000000" w:themeColor="text1"/>
          <w:szCs w:val="19"/>
        </w:rPr>
        <w:t xml:space="preserve"> </w:t>
      </w:r>
      <w:r w:rsidRPr="00B60342">
        <w:rPr>
          <w:color w:val="000000" w:themeColor="text1"/>
          <w:szCs w:val="19"/>
        </w:rPr>
        <w:t>valider l’avancement de chacune des phases</w:t>
      </w:r>
      <w:r w:rsidR="00FF24AF" w:rsidRPr="00B60342">
        <w:rPr>
          <w:color w:val="000000" w:themeColor="text1"/>
          <w:szCs w:val="19"/>
        </w:rPr>
        <w:t>. Il se compose des représentants élus de la commune et des membres des services</w:t>
      </w:r>
      <w:r w:rsidR="0023684F">
        <w:rPr>
          <w:color w:val="000000" w:themeColor="text1"/>
          <w:szCs w:val="19"/>
        </w:rPr>
        <w:t xml:space="preserve"> municipaux concernés</w:t>
      </w:r>
      <w:r w:rsidR="00FF24AF" w:rsidRPr="00B60342">
        <w:rPr>
          <w:color w:val="000000" w:themeColor="text1"/>
          <w:szCs w:val="19"/>
        </w:rPr>
        <w:t>. Il peut en tant que de besoin élargir sa composition à d’autres membres</w:t>
      </w:r>
    </w:p>
    <w:p w14:paraId="4917CF2F" w14:textId="3D3FE0B6" w:rsidR="00FF24AF" w:rsidRPr="00B60342" w:rsidRDefault="00FF24AF" w:rsidP="00FF24AF">
      <w:pPr>
        <w:spacing w:after="0" w:line="240" w:lineRule="auto"/>
        <w:jc w:val="both"/>
        <w:rPr>
          <w:color w:val="000000" w:themeColor="text1"/>
          <w:szCs w:val="19"/>
        </w:rPr>
      </w:pPr>
    </w:p>
    <w:p w14:paraId="1DBBDFAE" w14:textId="77777777" w:rsidR="00FF24AF" w:rsidRPr="00B60342" w:rsidRDefault="00FF24AF" w:rsidP="00FF24AF">
      <w:pPr>
        <w:spacing w:after="0" w:line="240" w:lineRule="auto"/>
        <w:ind w:left="708"/>
        <w:jc w:val="both"/>
        <w:rPr>
          <w:color w:val="000000" w:themeColor="text1"/>
          <w:szCs w:val="19"/>
        </w:rPr>
      </w:pPr>
      <w:r w:rsidRPr="00B60342">
        <w:rPr>
          <w:color w:val="000000" w:themeColor="text1"/>
          <w:szCs w:val="19"/>
        </w:rPr>
        <w:t xml:space="preserve">Il sera réuni </w:t>
      </w:r>
    </w:p>
    <w:p w14:paraId="29C5B415" w14:textId="77777777" w:rsidR="00FF24AF" w:rsidRPr="00B60342" w:rsidRDefault="00FF24AF" w:rsidP="00FF24AF">
      <w:pPr>
        <w:spacing w:after="0" w:line="240" w:lineRule="auto"/>
        <w:ind w:left="708"/>
        <w:jc w:val="both"/>
        <w:rPr>
          <w:color w:val="000000" w:themeColor="text1"/>
          <w:szCs w:val="19"/>
        </w:rPr>
      </w:pPr>
      <w:r w:rsidRPr="00B60342">
        <w:rPr>
          <w:rFonts w:cs="Arial"/>
          <w:color w:val="000000" w:themeColor="text1"/>
          <w:szCs w:val="19"/>
          <w:shd w:val="clear" w:color="auto" w:fill="95B3D7" w:themeFill="accent1" w:themeFillTint="99"/>
        </w:rPr>
        <w:sym w:font="Wingdings" w:char="F071"/>
      </w:r>
      <w:r w:rsidRPr="00B60342">
        <w:rPr>
          <w:rFonts w:cs="Arial"/>
          <w:color w:val="000000" w:themeColor="text1"/>
          <w:szCs w:val="19"/>
        </w:rPr>
        <w:t xml:space="preserve"> </w:t>
      </w:r>
      <w:r w:rsidRPr="00B60342">
        <w:rPr>
          <w:color w:val="000000" w:themeColor="text1"/>
          <w:szCs w:val="19"/>
        </w:rPr>
        <w:t xml:space="preserve">au moins </w:t>
      </w:r>
      <w:r w:rsidRPr="00B60342">
        <w:rPr>
          <w:color w:val="000000" w:themeColor="text1"/>
          <w:szCs w:val="19"/>
          <w:shd w:val="clear" w:color="auto" w:fill="95B3D7" w:themeFill="accent1" w:themeFillTint="99"/>
        </w:rPr>
        <w:t>X</w:t>
      </w:r>
      <w:r w:rsidRPr="00B60342">
        <w:rPr>
          <w:color w:val="000000" w:themeColor="text1"/>
          <w:szCs w:val="19"/>
        </w:rPr>
        <w:t xml:space="preserve"> fois pour chaque phase</w:t>
      </w:r>
    </w:p>
    <w:p w14:paraId="569C8666" w14:textId="209A48DF" w:rsidR="00FF24AF" w:rsidRPr="00B60342" w:rsidRDefault="00FF24AF" w:rsidP="00FF24AF">
      <w:pPr>
        <w:spacing w:after="0" w:line="240" w:lineRule="auto"/>
        <w:ind w:left="708"/>
        <w:jc w:val="both"/>
        <w:rPr>
          <w:color w:val="000000" w:themeColor="text1"/>
          <w:szCs w:val="19"/>
        </w:rPr>
      </w:pPr>
      <w:r w:rsidRPr="00B60342">
        <w:rPr>
          <w:rFonts w:cs="Arial"/>
          <w:color w:val="000000" w:themeColor="text1"/>
          <w:szCs w:val="19"/>
          <w:shd w:val="clear" w:color="auto" w:fill="95B3D7" w:themeFill="accent1" w:themeFillTint="99"/>
        </w:rPr>
        <w:sym w:font="Wingdings" w:char="F071"/>
      </w:r>
      <w:r w:rsidRPr="00B60342">
        <w:rPr>
          <w:rFonts w:cs="Arial"/>
          <w:color w:val="000000" w:themeColor="text1"/>
          <w:szCs w:val="19"/>
        </w:rPr>
        <w:t xml:space="preserve"> </w:t>
      </w:r>
      <w:r w:rsidRPr="00B60342">
        <w:rPr>
          <w:color w:val="000000" w:themeColor="text1"/>
          <w:szCs w:val="19"/>
          <w:shd w:val="clear" w:color="auto" w:fill="95B3D7" w:themeFill="accent1" w:themeFillTint="99"/>
        </w:rPr>
        <w:t>X</w:t>
      </w:r>
      <w:r w:rsidRPr="00B60342">
        <w:rPr>
          <w:color w:val="000000" w:themeColor="text1"/>
          <w:szCs w:val="19"/>
        </w:rPr>
        <w:t xml:space="preserve"> fois pour la phase 1 </w:t>
      </w:r>
      <w:r w:rsidRPr="00B60342">
        <w:rPr>
          <w:color w:val="000000" w:themeColor="text1"/>
          <w:szCs w:val="19"/>
          <w:shd w:val="clear" w:color="auto" w:fill="95B3D7" w:themeFill="accent1" w:themeFillTint="99"/>
        </w:rPr>
        <w:t>X</w:t>
      </w:r>
      <w:r w:rsidRPr="00B60342">
        <w:rPr>
          <w:color w:val="000000" w:themeColor="text1"/>
          <w:szCs w:val="19"/>
        </w:rPr>
        <w:t xml:space="preserve"> fois pour la phase 2 </w:t>
      </w:r>
      <w:r w:rsidRPr="00B60342">
        <w:rPr>
          <w:color w:val="000000" w:themeColor="text1"/>
          <w:szCs w:val="19"/>
          <w:shd w:val="clear" w:color="auto" w:fill="95B3D7" w:themeFill="accent1" w:themeFillTint="99"/>
        </w:rPr>
        <w:t>X</w:t>
      </w:r>
      <w:r w:rsidRPr="00B60342">
        <w:rPr>
          <w:color w:val="000000" w:themeColor="text1"/>
          <w:szCs w:val="19"/>
        </w:rPr>
        <w:t xml:space="preserve"> fois pour la phase 3</w:t>
      </w:r>
    </w:p>
    <w:p w14:paraId="2D9F77D6" w14:textId="421CDD82" w:rsidR="00FF24AF" w:rsidRPr="00B60342" w:rsidRDefault="00FF24AF" w:rsidP="00FF24AF">
      <w:pPr>
        <w:spacing w:after="0" w:line="240" w:lineRule="auto"/>
        <w:jc w:val="both"/>
        <w:rPr>
          <w:color w:val="000000" w:themeColor="text1"/>
          <w:szCs w:val="19"/>
        </w:rPr>
      </w:pPr>
    </w:p>
    <w:p w14:paraId="5DD76DB1" w14:textId="2ED2351C" w:rsidR="00D57BA6" w:rsidRPr="00B60342" w:rsidRDefault="00D57BA6" w:rsidP="00D57BA6">
      <w:pPr>
        <w:numPr>
          <w:ilvl w:val="0"/>
          <w:numId w:val="9"/>
        </w:numPr>
        <w:spacing w:after="0" w:line="240" w:lineRule="auto"/>
        <w:jc w:val="both"/>
        <w:rPr>
          <w:color w:val="000000" w:themeColor="text1"/>
          <w:szCs w:val="19"/>
        </w:rPr>
      </w:pPr>
      <w:r w:rsidRPr="00B60342">
        <w:rPr>
          <w:color w:val="000000" w:themeColor="text1"/>
          <w:szCs w:val="19"/>
        </w:rPr>
        <w:t xml:space="preserve">Un comité technique </w:t>
      </w:r>
      <w:r w:rsidR="00CA66ED">
        <w:rPr>
          <w:color w:val="000000" w:themeColor="text1"/>
          <w:szCs w:val="19"/>
        </w:rPr>
        <w:t>chargé du suivi de l’étude dont notamment la préparation des comités de pilotage </w:t>
      </w:r>
    </w:p>
    <w:p w14:paraId="1E703576" w14:textId="51BFA2F8" w:rsidR="00D57BA6" w:rsidRPr="00B60342" w:rsidRDefault="00D57BA6" w:rsidP="00D57BA6">
      <w:pPr>
        <w:spacing w:after="0" w:line="240" w:lineRule="auto"/>
        <w:jc w:val="both"/>
        <w:rPr>
          <w:color w:val="000000" w:themeColor="text1"/>
          <w:szCs w:val="19"/>
        </w:rPr>
      </w:pPr>
    </w:p>
    <w:p w14:paraId="0A77B425" w14:textId="77777777" w:rsidR="00FF24AF" w:rsidRPr="00B60342" w:rsidRDefault="00FF24AF" w:rsidP="00FF24AF">
      <w:pPr>
        <w:spacing w:after="0" w:line="240" w:lineRule="auto"/>
        <w:ind w:left="708"/>
        <w:jc w:val="both"/>
        <w:rPr>
          <w:color w:val="000000" w:themeColor="text1"/>
          <w:szCs w:val="19"/>
        </w:rPr>
      </w:pPr>
      <w:r w:rsidRPr="00B60342">
        <w:rPr>
          <w:color w:val="000000" w:themeColor="text1"/>
          <w:szCs w:val="19"/>
        </w:rPr>
        <w:t xml:space="preserve">Il sera réuni </w:t>
      </w:r>
    </w:p>
    <w:p w14:paraId="6E446DEE" w14:textId="514C3F39" w:rsidR="00FF24AF" w:rsidRPr="00B60342" w:rsidRDefault="00FF24AF" w:rsidP="00FF24AF">
      <w:pPr>
        <w:spacing w:after="0" w:line="240" w:lineRule="auto"/>
        <w:ind w:left="708"/>
        <w:jc w:val="both"/>
        <w:rPr>
          <w:color w:val="000000" w:themeColor="text1"/>
          <w:szCs w:val="19"/>
        </w:rPr>
      </w:pPr>
      <w:r w:rsidRPr="00B60342">
        <w:rPr>
          <w:rFonts w:cs="Arial"/>
          <w:color w:val="000000" w:themeColor="text1"/>
          <w:szCs w:val="19"/>
          <w:shd w:val="clear" w:color="auto" w:fill="95B3D7" w:themeFill="accent1" w:themeFillTint="99"/>
        </w:rPr>
        <w:sym w:font="Wingdings" w:char="F071"/>
      </w:r>
      <w:r w:rsidRPr="00B60342">
        <w:rPr>
          <w:rFonts w:cs="Arial"/>
          <w:color w:val="000000" w:themeColor="text1"/>
          <w:szCs w:val="19"/>
        </w:rPr>
        <w:t xml:space="preserve"> </w:t>
      </w:r>
      <w:r w:rsidRPr="00B60342">
        <w:rPr>
          <w:color w:val="000000" w:themeColor="text1"/>
          <w:szCs w:val="19"/>
          <w:shd w:val="clear" w:color="auto" w:fill="95B3D7" w:themeFill="accent1" w:themeFillTint="99"/>
        </w:rPr>
        <w:t>X</w:t>
      </w:r>
      <w:r w:rsidRPr="00B60342">
        <w:rPr>
          <w:color w:val="000000" w:themeColor="text1"/>
          <w:szCs w:val="19"/>
        </w:rPr>
        <w:t xml:space="preserve"> fois pour chaque phase </w:t>
      </w:r>
    </w:p>
    <w:p w14:paraId="7D662B16" w14:textId="212046AF" w:rsidR="00FF24AF" w:rsidRPr="00B60342" w:rsidRDefault="00FF24AF" w:rsidP="00FF24AF">
      <w:pPr>
        <w:spacing w:after="0" w:line="240" w:lineRule="auto"/>
        <w:ind w:left="708"/>
        <w:jc w:val="both"/>
        <w:rPr>
          <w:color w:val="000000" w:themeColor="text1"/>
          <w:szCs w:val="19"/>
        </w:rPr>
      </w:pPr>
      <w:r w:rsidRPr="00B60342">
        <w:rPr>
          <w:rFonts w:cs="Arial"/>
          <w:color w:val="000000" w:themeColor="text1"/>
          <w:szCs w:val="19"/>
          <w:shd w:val="clear" w:color="auto" w:fill="95B3D7" w:themeFill="accent1" w:themeFillTint="99"/>
        </w:rPr>
        <w:sym w:font="Wingdings" w:char="F071"/>
      </w:r>
      <w:r w:rsidRPr="00B60342">
        <w:rPr>
          <w:rFonts w:cs="Arial"/>
          <w:color w:val="000000" w:themeColor="text1"/>
          <w:szCs w:val="19"/>
        </w:rPr>
        <w:t xml:space="preserve"> </w:t>
      </w:r>
      <w:r w:rsidRPr="00B60342">
        <w:rPr>
          <w:color w:val="000000" w:themeColor="text1"/>
          <w:szCs w:val="19"/>
          <w:shd w:val="clear" w:color="auto" w:fill="95B3D7" w:themeFill="accent1" w:themeFillTint="99"/>
        </w:rPr>
        <w:t>X</w:t>
      </w:r>
      <w:r w:rsidRPr="00B60342">
        <w:rPr>
          <w:color w:val="000000" w:themeColor="text1"/>
          <w:szCs w:val="19"/>
        </w:rPr>
        <w:t xml:space="preserve"> fois pour la phase 1 </w:t>
      </w:r>
      <w:r w:rsidRPr="00B60342">
        <w:rPr>
          <w:color w:val="000000" w:themeColor="text1"/>
          <w:szCs w:val="19"/>
          <w:shd w:val="clear" w:color="auto" w:fill="95B3D7" w:themeFill="accent1" w:themeFillTint="99"/>
        </w:rPr>
        <w:t>X</w:t>
      </w:r>
      <w:r w:rsidRPr="00B60342">
        <w:rPr>
          <w:color w:val="000000" w:themeColor="text1"/>
          <w:szCs w:val="19"/>
        </w:rPr>
        <w:t xml:space="preserve"> fois pour la phase 2 </w:t>
      </w:r>
      <w:r w:rsidRPr="00B60342">
        <w:rPr>
          <w:color w:val="000000" w:themeColor="text1"/>
          <w:szCs w:val="19"/>
          <w:shd w:val="clear" w:color="auto" w:fill="95B3D7" w:themeFill="accent1" w:themeFillTint="99"/>
        </w:rPr>
        <w:t>X</w:t>
      </w:r>
      <w:r w:rsidRPr="00B60342">
        <w:rPr>
          <w:color w:val="000000" w:themeColor="text1"/>
          <w:szCs w:val="19"/>
        </w:rPr>
        <w:t xml:space="preserve"> fois pour la phase 3</w:t>
      </w:r>
    </w:p>
    <w:p w14:paraId="3FDBD94A" w14:textId="702BB383" w:rsidR="00D57BA6" w:rsidRPr="00B60342" w:rsidRDefault="00D57BA6" w:rsidP="00D57BA6">
      <w:pPr>
        <w:spacing w:after="0" w:line="240" w:lineRule="auto"/>
        <w:jc w:val="both"/>
        <w:rPr>
          <w:color w:val="000000" w:themeColor="text1"/>
          <w:szCs w:val="19"/>
        </w:rPr>
      </w:pPr>
    </w:p>
    <w:p w14:paraId="68D606DC" w14:textId="0FEB2E05" w:rsidR="00DC7FC7" w:rsidRPr="00B60342" w:rsidRDefault="00DC7FC7" w:rsidP="007B6ABE">
      <w:pPr>
        <w:pStyle w:val="Titre4"/>
      </w:pPr>
      <w:r w:rsidRPr="00B60342">
        <w:t>Article 4.</w:t>
      </w:r>
      <w:r w:rsidR="007B6ABE" w:rsidRPr="00B60342">
        <w:t>2</w:t>
      </w:r>
      <w:r w:rsidRPr="00B60342">
        <w:t xml:space="preserve"> – Représentation du titulaire</w:t>
      </w:r>
    </w:p>
    <w:p w14:paraId="75D219E8" w14:textId="77777777" w:rsidR="00DC7FC7" w:rsidRPr="00B60342" w:rsidRDefault="00DC7FC7" w:rsidP="00DC7FC7">
      <w:pPr>
        <w:tabs>
          <w:tab w:val="left" w:pos="720"/>
          <w:tab w:val="left" w:pos="1260"/>
          <w:tab w:val="left" w:pos="1440"/>
          <w:tab w:val="left" w:pos="1800"/>
        </w:tabs>
        <w:jc w:val="both"/>
        <w:rPr>
          <w:rFonts w:cs="Arial"/>
          <w:color w:val="000000" w:themeColor="text1"/>
          <w:szCs w:val="19"/>
        </w:rPr>
      </w:pPr>
      <w:r w:rsidRPr="00B60342">
        <w:rPr>
          <w:rFonts w:cs="Arial"/>
          <w:color w:val="000000" w:themeColor="text1"/>
          <w:szCs w:val="19"/>
        </w:rPr>
        <w:t xml:space="preserve">Conformément à l’article 3.4.1 du CCAG-PI, le titulaire désigne dès la notification du marché une ou plusieurs personnes physiques, habilitées à le représenter auprès de l’acheteur, pour les besoins de l'exécution du marché. </w:t>
      </w:r>
    </w:p>
    <w:p w14:paraId="5C2ACE0C" w14:textId="110981A9" w:rsidR="009C6686" w:rsidRPr="00B60342" w:rsidRDefault="009C6686" w:rsidP="007B6ABE">
      <w:pPr>
        <w:pStyle w:val="Titre4"/>
      </w:pPr>
      <w:r w:rsidRPr="00B60342">
        <w:t>Article 4.</w:t>
      </w:r>
      <w:r w:rsidR="007B6ABE" w:rsidRPr="00B60342">
        <w:t>3</w:t>
      </w:r>
      <w:r w:rsidRPr="00B60342">
        <w:t xml:space="preserve"> – Réunion de lancement</w:t>
      </w:r>
    </w:p>
    <w:p w14:paraId="712F8E1B" w14:textId="77777777" w:rsidR="009C6686" w:rsidRPr="00B60342" w:rsidRDefault="009C6686" w:rsidP="009C6686">
      <w:pPr>
        <w:spacing w:after="120"/>
        <w:jc w:val="both"/>
        <w:rPr>
          <w:color w:val="000000" w:themeColor="text1"/>
        </w:rPr>
      </w:pPr>
      <w:r w:rsidRPr="00B60342">
        <w:rPr>
          <w:color w:val="000000" w:themeColor="text1"/>
        </w:rPr>
        <w:t>A l’initiative de l’acheteur et au plus tard dans les 15 jours suivant le démarrage de la mission, l’acheteur et le titulaire se réunissent afin notamment :</w:t>
      </w:r>
    </w:p>
    <w:p w14:paraId="486B834A" w14:textId="77777777" w:rsidR="009C6686" w:rsidRPr="00B60342" w:rsidRDefault="009C6686" w:rsidP="009C6686">
      <w:pPr>
        <w:numPr>
          <w:ilvl w:val="0"/>
          <w:numId w:val="9"/>
        </w:numPr>
        <w:spacing w:after="0" w:line="240" w:lineRule="auto"/>
        <w:jc w:val="both"/>
        <w:rPr>
          <w:color w:val="000000" w:themeColor="text1"/>
          <w:szCs w:val="19"/>
        </w:rPr>
      </w:pPr>
      <w:r w:rsidRPr="00B60342">
        <w:rPr>
          <w:rFonts w:cs="Arial"/>
          <w:color w:val="000000" w:themeColor="text1"/>
          <w:szCs w:val="19"/>
        </w:rPr>
        <w:t xml:space="preserve">d’identifier les interlocuteurs en charge de la mission, le cas échéant en validant un organigramme de mission ; </w:t>
      </w:r>
    </w:p>
    <w:p w14:paraId="5F9893DC" w14:textId="77777777" w:rsidR="009C6686" w:rsidRPr="00B60342" w:rsidRDefault="009C6686" w:rsidP="009C6686">
      <w:pPr>
        <w:numPr>
          <w:ilvl w:val="0"/>
          <w:numId w:val="9"/>
        </w:numPr>
        <w:spacing w:after="0" w:line="240" w:lineRule="auto"/>
        <w:jc w:val="both"/>
        <w:rPr>
          <w:color w:val="000000" w:themeColor="text1"/>
          <w:szCs w:val="19"/>
        </w:rPr>
      </w:pPr>
      <w:r w:rsidRPr="00B60342">
        <w:rPr>
          <w:rFonts w:cs="Arial"/>
          <w:color w:val="000000" w:themeColor="text1"/>
          <w:szCs w:val="19"/>
        </w:rPr>
        <w:t>de définir les modalités d’échanges, notamment dématérialisés, avec l’acheteur ;</w:t>
      </w:r>
    </w:p>
    <w:p w14:paraId="13190793" w14:textId="1CA70171" w:rsidR="00FF24AF" w:rsidRPr="00B60342" w:rsidRDefault="00FF24AF" w:rsidP="009C6686">
      <w:pPr>
        <w:numPr>
          <w:ilvl w:val="0"/>
          <w:numId w:val="9"/>
        </w:numPr>
        <w:spacing w:after="0" w:line="240" w:lineRule="auto"/>
        <w:jc w:val="both"/>
        <w:rPr>
          <w:color w:val="000000" w:themeColor="text1"/>
          <w:szCs w:val="19"/>
        </w:rPr>
      </w:pPr>
      <w:r w:rsidRPr="00B60342">
        <w:rPr>
          <w:color w:val="000000" w:themeColor="text1"/>
          <w:szCs w:val="19"/>
        </w:rPr>
        <w:t>de valider la démarche de pilotage </w:t>
      </w:r>
      <w:r w:rsidR="00EF1754" w:rsidRPr="00B60342">
        <w:rPr>
          <w:color w:val="000000" w:themeColor="text1"/>
          <w:szCs w:val="19"/>
        </w:rPr>
        <w:t xml:space="preserve">et de concertation </w:t>
      </w:r>
      <w:r w:rsidRPr="00B60342">
        <w:rPr>
          <w:color w:val="000000" w:themeColor="text1"/>
          <w:szCs w:val="19"/>
        </w:rPr>
        <w:t>;</w:t>
      </w:r>
    </w:p>
    <w:p w14:paraId="7B6D40ED" w14:textId="2A0814F7" w:rsidR="009C6686" w:rsidRPr="00B60342" w:rsidRDefault="009C6686" w:rsidP="009C6686">
      <w:pPr>
        <w:numPr>
          <w:ilvl w:val="0"/>
          <w:numId w:val="9"/>
        </w:numPr>
        <w:spacing w:after="0" w:line="240" w:lineRule="auto"/>
        <w:jc w:val="both"/>
        <w:rPr>
          <w:color w:val="000000" w:themeColor="text1"/>
          <w:szCs w:val="19"/>
        </w:rPr>
      </w:pPr>
      <w:r w:rsidRPr="00B60342">
        <w:rPr>
          <w:rFonts w:cs="Arial"/>
          <w:color w:val="000000" w:themeColor="text1"/>
          <w:szCs w:val="19"/>
        </w:rPr>
        <w:t xml:space="preserve">de compléter la base documentaire nécessaire au démarrage de la mission ; </w:t>
      </w:r>
    </w:p>
    <w:p w14:paraId="2960B46B" w14:textId="77777777" w:rsidR="009C6686" w:rsidRPr="00B60342" w:rsidRDefault="009C6686" w:rsidP="009C6686">
      <w:pPr>
        <w:numPr>
          <w:ilvl w:val="0"/>
          <w:numId w:val="9"/>
        </w:numPr>
        <w:spacing w:after="0" w:line="240" w:lineRule="auto"/>
        <w:jc w:val="both"/>
        <w:rPr>
          <w:color w:val="000000" w:themeColor="text1"/>
          <w:szCs w:val="19"/>
        </w:rPr>
      </w:pPr>
      <w:r w:rsidRPr="00B60342">
        <w:rPr>
          <w:rFonts w:cs="Arial"/>
          <w:color w:val="000000" w:themeColor="text1"/>
          <w:szCs w:val="19"/>
        </w:rPr>
        <w:t xml:space="preserve">de présenter les spécificités du circuit de paiement de l’acheteur et d’arrêter les modalités pratiques de facturation des prestations. </w:t>
      </w:r>
    </w:p>
    <w:p w14:paraId="7DF62B22" w14:textId="77777777" w:rsidR="009C6686" w:rsidRPr="00B60342" w:rsidRDefault="009C6686" w:rsidP="009C6686">
      <w:pPr>
        <w:spacing w:after="0" w:line="240" w:lineRule="auto"/>
        <w:ind w:left="720"/>
        <w:jc w:val="both"/>
        <w:rPr>
          <w:color w:val="000000" w:themeColor="text1"/>
          <w:szCs w:val="19"/>
        </w:rPr>
      </w:pPr>
    </w:p>
    <w:p w14:paraId="67E1B561" w14:textId="51D70E1C" w:rsidR="009C6686" w:rsidRPr="00B60342" w:rsidRDefault="009C6686" w:rsidP="009C6686">
      <w:pPr>
        <w:spacing w:after="0" w:line="240" w:lineRule="auto"/>
        <w:jc w:val="both"/>
        <w:rPr>
          <w:color w:val="000000" w:themeColor="text1"/>
          <w:szCs w:val="19"/>
        </w:rPr>
      </w:pPr>
      <w:r w:rsidRPr="00B60342">
        <w:rPr>
          <w:color w:val="000000" w:themeColor="text1"/>
          <w:szCs w:val="19"/>
        </w:rPr>
        <w:t xml:space="preserve">La réunion de lancement fait l’objet d’un compte-rendu </w:t>
      </w:r>
      <w:r w:rsidR="000A75C6">
        <w:rPr>
          <w:color w:val="000000" w:themeColor="text1"/>
          <w:szCs w:val="19"/>
        </w:rPr>
        <w:t xml:space="preserve">établi par le titulaire. </w:t>
      </w:r>
      <w:r w:rsidRPr="00B60342">
        <w:rPr>
          <w:color w:val="000000" w:themeColor="text1"/>
          <w:szCs w:val="19"/>
        </w:rPr>
        <w:t xml:space="preserve"> </w:t>
      </w:r>
    </w:p>
    <w:p w14:paraId="260EE8DE" w14:textId="77777777" w:rsidR="00D57BA6" w:rsidRPr="00B60342" w:rsidRDefault="00D57BA6" w:rsidP="006363D1">
      <w:pPr>
        <w:pStyle w:val="Titre5"/>
        <w:jc w:val="both"/>
      </w:pPr>
    </w:p>
    <w:p w14:paraId="2A3766F6" w14:textId="2439F2C3" w:rsidR="006363D1" w:rsidRPr="00B60342" w:rsidRDefault="006363D1" w:rsidP="007B6ABE">
      <w:pPr>
        <w:pStyle w:val="Titre4"/>
      </w:pPr>
      <w:r w:rsidRPr="00B60342">
        <w:t>Article 4.</w:t>
      </w:r>
      <w:r w:rsidR="007B6ABE" w:rsidRPr="00B60342">
        <w:t>4</w:t>
      </w:r>
      <w:r w:rsidRPr="00B60342">
        <w:t xml:space="preserve"> – </w:t>
      </w:r>
      <w:r w:rsidR="00FA1D95" w:rsidRPr="00B60342">
        <w:t xml:space="preserve">Organisation </w:t>
      </w:r>
      <w:r w:rsidR="00FF24AF" w:rsidRPr="00B60342">
        <w:t>des</w:t>
      </w:r>
      <w:r w:rsidRPr="00B60342">
        <w:t xml:space="preserve"> réunions</w:t>
      </w:r>
    </w:p>
    <w:p w14:paraId="18C33F8B" w14:textId="77777777" w:rsidR="00FA1D95" w:rsidRPr="00B60342" w:rsidRDefault="00FA1D95" w:rsidP="006363D1">
      <w:pPr>
        <w:pStyle w:val="Titre5"/>
        <w:keepNext w:val="0"/>
        <w:keepLines w:val="0"/>
        <w:spacing w:line="276" w:lineRule="auto"/>
        <w:ind w:left="0"/>
        <w:jc w:val="both"/>
        <w:rPr>
          <w:b w:val="0"/>
          <w:bCs/>
        </w:rPr>
      </w:pPr>
      <w:r w:rsidRPr="00B60342">
        <w:rPr>
          <w:b w:val="0"/>
          <w:bCs/>
        </w:rPr>
        <w:t>Le titulaire aura en charge :</w:t>
      </w:r>
    </w:p>
    <w:p w14:paraId="5B595E38" w14:textId="581ECD69" w:rsidR="00FA1D95" w:rsidRPr="00B60342" w:rsidRDefault="00FA1D95" w:rsidP="00FA1D95">
      <w:pPr>
        <w:pStyle w:val="Titre5"/>
        <w:keepNext w:val="0"/>
        <w:keepLines w:val="0"/>
        <w:numPr>
          <w:ilvl w:val="0"/>
          <w:numId w:val="41"/>
        </w:numPr>
        <w:spacing w:line="276" w:lineRule="auto"/>
        <w:jc w:val="both"/>
        <w:rPr>
          <w:b w:val="0"/>
          <w:bCs/>
        </w:rPr>
      </w:pPr>
      <w:r w:rsidRPr="00B60342">
        <w:rPr>
          <w:b w:val="0"/>
          <w:bCs/>
        </w:rPr>
        <w:lastRenderedPageBreak/>
        <w:t>la définition des ordres du jour ;</w:t>
      </w:r>
    </w:p>
    <w:p w14:paraId="2DC0FB40" w14:textId="505664B3" w:rsidR="00FA1D95" w:rsidRPr="00B60342" w:rsidRDefault="00FA1D95" w:rsidP="00FA1D95">
      <w:pPr>
        <w:pStyle w:val="Titre5"/>
        <w:keepNext w:val="0"/>
        <w:keepLines w:val="0"/>
        <w:numPr>
          <w:ilvl w:val="0"/>
          <w:numId w:val="41"/>
        </w:numPr>
        <w:spacing w:line="276" w:lineRule="auto"/>
        <w:jc w:val="both"/>
        <w:rPr>
          <w:b w:val="0"/>
          <w:bCs/>
        </w:rPr>
      </w:pPr>
      <w:r w:rsidRPr="00B60342">
        <w:rPr>
          <w:b w:val="0"/>
          <w:bCs/>
        </w:rPr>
        <w:t>l’identification des personnes dont la présence est requise ;</w:t>
      </w:r>
    </w:p>
    <w:p w14:paraId="3E3F4B3B" w14:textId="246E781E" w:rsidR="00FA1D95" w:rsidRPr="00B60342" w:rsidRDefault="00FA1D95" w:rsidP="00FA1D95">
      <w:pPr>
        <w:pStyle w:val="Titre5"/>
        <w:keepNext w:val="0"/>
        <w:keepLines w:val="0"/>
        <w:numPr>
          <w:ilvl w:val="0"/>
          <w:numId w:val="41"/>
        </w:numPr>
        <w:spacing w:line="276" w:lineRule="auto"/>
        <w:jc w:val="both"/>
        <w:rPr>
          <w:b w:val="0"/>
          <w:bCs/>
        </w:rPr>
      </w:pPr>
      <w:r w:rsidRPr="00B60342">
        <w:rPr>
          <w:b w:val="0"/>
          <w:bCs/>
        </w:rPr>
        <w:t xml:space="preserve">la </w:t>
      </w:r>
      <w:r w:rsidR="00A54960">
        <w:rPr>
          <w:b w:val="0"/>
          <w:bCs/>
        </w:rPr>
        <w:t>préparation et la mise en forme</w:t>
      </w:r>
      <w:r w:rsidRPr="00B60342">
        <w:rPr>
          <w:b w:val="0"/>
          <w:bCs/>
        </w:rPr>
        <w:t xml:space="preserve"> de la documentation nécessaire à la tenue de chaque réunion</w:t>
      </w:r>
      <w:r w:rsidR="00866800">
        <w:rPr>
          <w:b w:val="0"/>
          <w:bCs/>
        </w:rPr>
        <w:t xml:space="preserve">, dans un format adapté </w:t>
      </w:r>
      <w:r w:rsidR="00426725">
        <w:rPr>
          <w:b w:val="0"/>
          <w:bCs/>
        </w:rPr>
        <w:t xml:space="preserve">au profil de la réunion </w:t>
      </w:r>
      <w:r w:rsidR="00866800">
        <w:rPr>
          <w:b w:val="0"/>
          <w:bCs/>
        </w:rPr>
        <w:t>(projection, documents papier</w:t>
      </w:r>
      <w:r w:rsidR="00426725">
        <w:rPr>
          <w:b w:val="0"/>
          <w:bCs/>
        </w:rPr>
        <w:t>, planches</w:t>
      </w:r>
      <w:r w:rsidR="00C328C5">
        <w:rPr>
          <w:b w:val="0"/>
          <w:bCs/>
        </w:rPr>
        <w:t>, etc.</w:t>
      </w:r>
      <w:r w:rsidR="00426725">
        <w:rPr>
          <w:b w:val="0"/>
          <w:bCs/>
        </w:rPr>
        <w:t>)</w:t>
      </w:r>
      <w:r w:rsidRPr="00B60342">
        <w:rPr>
          <w:b w:val="0"/>
          <w:bCs/>
        </w:rPr>
        <w:t> ;</w:t>
      </w:r>
    </w:p>
    <w:p w14:paraId="5BE0BC31" w14:textId="68710C1F" w:rsidR="00FA1D95" w:rsidRPr="00B60342" w:rsidRDefault="0093647D" w:rsidP="00FA1D95">
      <w:pPr>
        <w:pStyle w:val="Titre5"/>
        <w:keepNext w:val="0"/>
        <w:keepLines w:val="0"/>
        <w:numPr>
          <w:ilvl w:val="0"/>
          <w:numId w:val="41"/>
        </w:numPr>
        <w:spacing w:line="276" w:lineRule="auto"/>
        <w:jc w:val="both"/>
        <w:rPr>
          <w:b w:val="0"/>
        </w:rPr>
      </w:pPr>
      <w:r w:rsidRPr="00B60342">
        <w:rPr>
          <w:b w:val="0"/>
        </w:rPr>
        <w:t>l</w:t>
      </w:r>
      <w:r w:rsidR="00FA1D95" w:rsidRPr="00B60342">
        <w:rPr>
          <w:b w:val="0"/>
        </w:rPr>
        <w:t>a rédaction des comptes</w:t>
      </w:r>
      <w:r w:rsidR="007C3547">
        <w:rPr>
          <w:b w:val="0"/>
        </w:rPr>
        <w:t>-</w:t>
      </w:r>
      <w:r w:rsidR="00FA1D95" w:rsidRPr="00B60342">
        <w:rPr>
          <w:b w:val="0"/>
        </w:rPr>
        <w:t>rendus des comités techniques et des comités de pilotage</w:t>
      </w:r>
      <w:r w:rsidR="00075832">
        <w:rPr>
          <w:b w:val="0"/>
        </w:rPr>
        <w:t xml:space="preserve"> et</w:t>
      </w:r>
      <w:r w:rsidR="00FA1D95" w:rsidRPr="00B60342">
        <w:rPr>
          <w:b w:val="0"/>
        </w:rPr>
        <w:t xml:space="preserve"> leur remise dans un délai maximum de </w:t>
      </w:r>
      <w:r w:rsidR="00FA1D95" w:rsidRPr="00B60342">
        <w:rPr>
          <w:b w:val="0"/>
          <w:shd w:val="clear" w:color="auto" w:fill="95B3D7" w:themeFill="accent1" w:themeFillTint="99"/>
        </w:rPr>
        <w:t>X</w:t>
      </w:r>
      <w:r w:rsidR="00075832">
        <w:rPr>
          <w:b w:val="0"/>
          <w:shd w:val="clear" w:color="auto" w:fill="95B3D7" w:themeFill="accent1" w:themeFillTint="99"/>
        </w:rPr>
        <w:t>X</w:t>
      </w:r>
      <w:r w:rsidR="00FA1D95" w:rsidRPr="00B60342">
        <w:rPr>
          <w:b w:val="0"/>
          <w:shd w:val="clear" w:color="auto" w:fill="95B3D7" w:themeFill="accent1" w:themeFillTint="99"/>
        </w:rPr>
        <w:t xml:space="preserve"> jours</w:t>
      </w:r>
      <w:r w:rsidR="00FA1D95" w:rsidRPr="00B60342">
        <w:rPr>
          <w:b w:val="0"/>
        </w:rPr>
        <w:t xml:space="preserve"> </w:t>
      </w:r>
    </w:p>
    <w:p w14:paraId="5175A8E2" w14:textId="56DBE653" w:rsidR="007B6ABE" w:rsidRPr="00B60342" w:rsidRDefault="00D23FFA" w:rsidP="007B6ABE">
      <w:pPr>
        <w:rPr>
          <w:color w:val="000000" w:themeColor="text1"/>
        </w:rPr>
      </w:pPr>
      <w:r>
        <w:rPr>
          <w:color w:val="000000" w:themeColor="text1"/>
        </w:rPr>
        <w:t xml:space="preserve">L’acheteur invite les participants, en incluant l’ordre du jour et les conditions d’accès à la documentation. </w:t>
      </w:r>
    </w:p>
    <w:p w14:paraId="78F1BBA4" w14:textId="321E9457" w:rsidR="009C6686" w:rsidRPr="00B60342" w:rsidRDefault="009C6686" w:rsidP="007B6ABE">
      <w:pPr>
        <w:pStyle w:val="Titre2"/>
      </w:pPr>
      <w:bookmarkStart w:id="10" w:name="_Toc528596382"/>
      <w:bookmarkStart w:id="11" w:name="_Toc19261805"/>
      <w:bookmarkStart w:id="12" w:name="_Toc73013622"/>
      <w:r w:rsidRPr="00B60342">
        <w:t xml:space="preserve">Article </w:t>
      </w:r>
      <w:r w:rsidR="007B6ABE" w:rsidRPr="00B60342">
        <w:t>5</w:t>
      </w:r>
      <w:r w:rsidRPr="00B60342">
        <w:t xml:space="preserve"> – </w:t>
      </w:r>
      <w:bookmarkEnd w:id="10"/>
      <w:bookmarkEnd w:id="11"/>
      <w:bookmarkEnd w:id="12"/>
      <w:r w:rsidR="00DC7FC7" w:rsidRPr="00B60342">
        <w:t>Concertation</w:t>
      </w:r>
      <w:r w:rsidR="007B6ABE" w:rsidRPr="00B60342">
        <w:t xml:space="preserve"> et communication au public</w:t>
      </w:r>
    </w:p>
    <w:p w14:paraId="1AF713A6" w14:textId="012A2E56" w:rsidR="00180726" w:rsidRPr="00B60342" w:rsidRDefault="00180726" w:rsidP="00180726">
      <w:pPr>
        <w:pStyle w:val="Titre4"/>
      </w:pPr>
      <w:bookmarkStart w:id="13" w:name="_Toc19261808"/>
      <w:bookmarkStart w:id="14" w:name="_Toc73013625"/>
      <w:r w:rsidRPr="00B60342">
        <w:t>Article 5.1 – Modalités de la concertation</w:t>
      </w:r>
    </w:p>
    <w:p w14:paraId="5DAA9C85" w14:textId="6262C0B6" w:rsidR="00DC7FC7" w:rsidRPr="00B60342" w:rsidRDefault="00DC7FC7" w:rsidP="00DC7FC7">
      <w:pPr>
        <w:rPr>
          <w:color w:val="000000" w:themeColor="text1"/>
        </w:rPr>
      </w:pPr>
      <w:r w:rsidRPr="00B60342">
        <w:rPr>
          <w:color w:val="000000" w:themeColor="text1"/>
        </w:rPr>
        <w:t xml:space="preserve">La réalisation de chaque phase devra être alimentée d'une concertation </w:t>
      </w:r>
      <w:r w:rsidR="00180726" w:rsidRPr="00B60342">
        <w:rPr>
          <w:color w:val="000000" w:themeColor="text1"/>
        </w:rPr>
        <w:t>avec les élus</w:t>
      </w:r>
      <w:r w:rsidR="00EF1754" w:rsidRPr="00B60342">
        <w:rPr>
          <w:color w:val="000000" w:themeColor="text1"/>
        </w:rPr>
        <w:t xml:space="preserve">, </w:t>
      </w:r>
      <w:r w:rsidR="00180726" w:rsidRPr="00B60342">
        <w:rPr>
          <w:color w:val="000000" w:themeColor="text1"/>
        </w:rPr>
        <w:t>les citoyens</w:t>
      </w:r>
      <w:r w:rsidR="00EF1754" w:rsidRPr="00B60342">
        <w:rPr>
          <w:color w:val="000000" w:themeColor="text1"/>
        </w:rPr>
        <w:t xml:space="preserve"> et les partenaires</w:t>
      </w:r>
      <w:r w:rsidR="00180726" w:rsidRPr="00B60342">
        <w:rPr>
          <w:color w:val="000000" w:themeColor="text1"/>
        </w:rPr>
        <w:t xml:space="preserve">, afin d’associer les </w:t>
      </w:r>
      <w:r w:rsidR="00EF1754" w:rsidRPr="00B60342">
        <w:rPr>
          <w:color w:val="000000" w:themeColor="text1"/>
        </w:rPr>
        <w:t>parties prenantes</w:t>
      </w:r>
      <w:r w:rsidR="00180726" w:rsidRPr="00B60342">
        <w:rPr>
          <w:color w:val="000000" w:themeColor="text1"/>
        </w:rPr>
        <w:t xml:space="preserve"> à chaque étape présidant à l’élaboration du plan-guide</w:t>
      </w:r>
      <w:r w:rsidR="00DF5F98">
        <w:rPr>
          <w:color w:val="000000" w:themeColor="text1"/>
        </w:rPr>
        <w:t xml:space="preserve"> communal</w:t>
      </w:r>
      <w:r w:rsidRPr="00B60342">
        <w:rPr>
          <w:color w:val="000000" w:themeColor="text1"/>
        </w:rPr>
        <w:t xml:space="preserve">. </w:t>
      </w:r>
    </w:p>
    <w:p w14:paraId="68CDD9C6" w14:textId="434F582D" w:rsidR="00DC7FC7" w:rsidRPr="00B60342" w:rsidRDefault="00DC7FC7" w:rsidP="00DC7FC7">
      <w:pPr>
        <w:rPr>
          <w:color w:val="000000" w:themeColor="text1"/>
        </w:rPr>
      </w:pPr>
      <w:r w:rsidRPr="00B60342">
        <w:rPr>
          <w:bCs/>
          <w:color w:val="000000" w:themeColor="text1"/>
        </w:rPr>
        <w:t>La démarche de concertation est conforme à la proposition méthodologique du titulaire comprise dans son offre, sous réserves d’ajustements opérés lors de la réunion de lancement</w:t>
      </w:r>
      <w:r w:rsidR="002168C7">
        <w:rPr>
          <w:bCs/>
          <w:color w:val="000000" w:themeColor="text1"/>
        </w:rPr>
        <w:t xml:space="preserve"> et </w:t>
      </w:r>
      <w:r w:rsidR="00985EC9">
        <w:rPr>
          <w:bCs/>
          <w:color w:val="000000" w:themeColor="text1"/>
        </w:rPr>
        <w:t>des exigences minimales suivantes :</w:t>
      </w:r>
      <w:r w:rsidRPr="00B60342">
        <w:rPr>
          <w:bCs/>
          <w:color w:val="000000" w:themeColor="text1"/>
        </w:rPr>
        <w:t xml:space="preserve"> </w:t>
      </w:r>
    </w:p>
    <w:p w14:paraId="049B4AC6" w14:textId="77777777" w:rsidR="00985EC9" w:rsidRDefault="00DC7FC7" w:rsidP="00985EC9">
      <w:pPr>
        <w:pStyle w:val="Paragraphedeliste"/>
        <w:numPr>
          <w:ilvl w:val="0"/>
          <w:numId w:val="41"/>
        </w:numPr>
        <w:jc w:val="both"/>
        <w:rPr>
          <w:color w:val="000000" w:themeColor="text1"/>
        </w:rPr>
      </w:pPr>
      <w:r w:rsidRPr="00985EC9">
        <w:rPr>
          <w:color w:val="000000" w:themeColor="text1"/>
        </w:rPr>
        <w:t>La concertation</w:t>
      </w:r>
      <w:r w:rsidR="00187529" w:rsidRPr="00985EC9">
        <w:rPr>
          <w:color w:val="000000" w:themeColor="text1"/>
        </w:rPr>
        <w:t> </w:t>
      </w:r>
      <w:r w:rsidRPr="00985EC9">
        <w:rPr>
          <w:color w:val="000000" w:themeColor="text1"/>
        </w:rPr>
        <w:t>fai</w:t>
      </w:r>
      <w:r w:rsidR="00CF151F" w:rsidRPr="00985EC9">
        <w:rPr>
          <w:color w:val="000000" w:themeColor="text1"/>
        </w:rPr>
        <w:t xml:space="preserve">t </w:t>
      </w:r>
      <w:r w:rsidRPr="00985EC9">
        <w:rPr>
          <w:color w:val="000000" w:themeColor="text1"/>
        </w:rPr>
        <w:t>l’objet de dispositifs adaptés et représentatifs des différents publics concernés</w:t>
      </w:r>
      <w:r w:rsidR="00180726" w:rsidRPr="00985EC9">
        <w:rPr>
          <w:color w:val="000000" w:themeColor="text1"/>
        </w:rPr>
        <w:t xml:space="preserve"> sur le périmètre retenu.</w:t>
      </w:r>
      <w:r w:rsidR="00E53AE1" w:rsidRPr="00985EC9">
        <w:rPr>
          <w:color w:val="000000" w:themeColor="text1"/>
        </w:rPr>
        <w:t xml:space="preserve"> </w:t>
      </w:r>
    </w:p>
    <w:p w14:paraId="695C23FA" w14:textId="407C88DD" w:rsidR="00DC7FC7" w:rsidRPr="00985EC9" w:rsidRDefault="00E53AE1" w:rsidP="00985EC9">
      <w:pPr>
        <w:pStyle w:val="Paragraphedeliste"/>
        <w:numPr>
          <w:ilvl w:val="0"/>
          <w:numId w:val="41"/>
        </w:numPr>
        <w:jc w:val="both"/>
        <w:rPr>
          <w:color w:val="000000" w:themeColor="text1"/>
        </w:rPr>
      </w:pPr>
      <w:r w:rsidRPr="00985EC9">
        <w:rPr>
          <w:color w:val="000000" w:themeColor="text1"/>
        </w:rPr>
        <w:t xml:space="preserve">Elle comprendra au moins les moyens de concertation suivants :  </w:t>
      </w:r>
      <w:r w:rsidR="00180726" w:rsidRPr="00985EC9">
        <w:rPr>
          <w:color w:val="000000" w:themeColor="text1"/>
        </w:rPr>
        <w:t xml:space="preserve"> </w:t>
      </w:r>
    </w:p>
    <w:p w14:paraId="17B2F64C" w14:textId="0A5D6818" w:rsidR="00985EC9" w:rsidRPr="00B60342" w:rsidRDefault="00985EC9" w:rsidP="00985EC9">
      <w:pPr>
        <w:pStyle w:val="Paragraphedeliste"/>
        <w:numPr>
          <w:ilvl w:val="0"/>
          <w:numId w:val="41"/>
        </w:numPr>
        <w:rPr>
          <w:bCs/>
          <w:color w:val="000000" w:themeColor="text1"/>
        </w:rPr>
      </w:pPr>
      <w:r w:rsidRPr="00B60342">
        <w:rPr>
          <w:rFonts w:cs="Arial"/>
          <w:color w:val="000000" w:themeColor="text1"/>
          <w:szCs w:val="19"/>
          <w:shd w:val="clear" w:color="auto" w:fill="95B3D7" w:themeFill="accent1" w:themeFillTint="99"/>
        </w:rPr>
        <w:sym w:font="Wingdings" w:char="F071"/>
      </w:r>
      <w:r w:rsidRPr="00B60342">
        <w:rPr>
          <w:rFonts w:cs="Arial"/>
          <w:color w:val="000000" w:themeColor="text1"/>
          <w:szCs w:val="19"/>
        </w:rPr>
        <w:t xml:space="preserve"> </w:t>
      </w:r>
      <w:r>
        <w:rPr>
          <w:bCs/>
          <w:color w:val="000000" w:themeColor="text1"/>
        </w:rPr>
        <w:t>réunion publique</w:t>
      </w:r>
    </w:p>
    <w:p w14:paraId="3C80D3A4" w14:textId="5EB9D26F" w:rsidR="00180726" w:rsidRPr="00B60342" w:rsidRDefault="00E53AE1" w:rsidP="00E53AE1">
      <w:pPr>
        <w:pStyle w:val="Paragraphedeliste"/>
        <w:rPr>
          <w:bCs/>
          <w:color w:val="000000" w:themeColor="text1"/>
        </w:rPr>
      </w:pPr>
      <w:r w:rsidRPr="00B60342">
        <w:rPr>
          <w:rFonts w:cs="Arial"/>
          <w:color w:val="000000" w:themeColor="text1"/>
          <w:szCs w:val="19"/>
          <w:shd w:val="clear" w:color="auto" w:fill="95B3D7" w:themeFill="accent1" w:themeFillTint="99"/>
        </w:rPr>
        <w:sym w:font="Wingdings" w:char="F071"/>
      </w:r>
      <w:r w:rsidRPr="00B60342">
        <w:rPr>
          <w:rFonts w:cs="Arial"/>
          <w:color w:val="000000" w:themeColor="text1"/>
          <w:szCs w:val="19"/>
        </w:rPr>
        <w:t xml:space="preserve"> </w:t>
      </w:r>
      <w:r w:rsidR="00180726" w:rsidRPr="00B60342">
        <w:rPr>
          <w:bCs/>
          <w:color w:val="000000" w:themeColor="text1"/>
        </w:rPr>
        <w:t>balade urbaine</w:t>
      </w:r>
    </w:p>
    <w:p w14:paraId="49C7EEC2" w14:textId="50610D5E" w:rsidR="00180726" w:rsidRPr="00B60342" w:rsidRDefault="00E53AE1" w:rsidP="00E53AE1">
      <w:pPr>
        <w:pStyle w:val="Paragraphedeliste"/>
        <w:rPr>
          <w:bCs/>
          <w:color w:val="000000" w:themeColor="text1"/>
        </w:rPr>
      </w:pPr>
      <w:r w:rsidRPr="00B60342">
        <w:rPr>
          <w:rFonts w:cs="Arial"/>
          <w:color w:val="000000" w:themeColor="text1"/>
          <w:szCs w:val="19"/>
          <w:shd w:val="clear" w:color="auto" w:fill="95B3D7" w:themeFill="accent1" w:themeFillTint="99"/>
        </w:rPr>
        <w:sym w:font="Wingdings" w:char="F071"/>
      </w:r>
      <w:r w:rsidRPr="00B60342">
        <w:rPr>
          <w:rFonts w:cs="Arial"/>
          <w:color w:val="000000" w:themeColor="text1"/>
          <w:szCs w:val="19"/>
        </w:rPr>
        <w:t xml:space="preserve"> </w:t>
      </w:r>
      <w:r w:rsidR="00180726" w:rsidRPr="00B60342">
        <w:rPr>
          <w:bCs/>
          <w:color w:val="000000" w:themeColor="text1"/>
        </w:rPr>
        <w:t>atelier</w:t>
      </w:r>
    </w:p>
    <w:p w14:paraId="24E5CCBF" w14:textId="364A9F79" w:rsidR="00180726" w:rsidRPr="00B60342" w:rsidRDefault="00E53AE1" w:rsidP="00E53AE1">
      <w:pPr>
        <w:pStyle w:val="Paragraphedeliste"/>
        <w:rPr>
          <w:bCs/>
          <w:color w:val="000000" w:themeColor="text1"/>
        </w:rPr>
      </w:pPr>
      <w:r w:rsidRPr="00B60342">
        <w:rPr>
          <w:rFonts w:cs="Arial"/>
          <w:color w:val="000000" w:themeColor="text1"/>
          <w:szCs w:val="19"/>
          <w:shd w:val="clear" w:color="auto" w:fill="95B3D7" w:themeFill="accent1" w:themeFillTint="99"/>
        </w:rPr>
        <w:sym w:font="Wingdings" w:char="F071"/>
      </w:r>
      <w:r w:rsidRPr="00B60342">
        <w:rPr>
          <w:rFonts w:cs="Arial"/>
          <w:color w:val="000000" w:themeColor="text1"/>
          <w:szCs w:val="19"/>
        </w:rPr>
        <w:t xml:space="preserve"> </w:t>
      </w:r>
      <w:r w:rsidR="00180726" w:rsidRPr="00B60342">
        <w:rPr>
          <w:bCs/>
          <w:color w:val="000000" w:themeColor="text1"/>
        </w:rPr>
        <w:t>entretien individuel</w:t>
      </w:r>
    </w:p>
    <w:p w14:paraId="7C9A67A7" w14:textId="67D4B401" w:rsidR="00180726" w:rsidRPr="00B60342" w:rsidRDefault="00E53AE1" w:rsidP="00E53AE1">
      <w:pPr>
        <w:pStyle w:val="Paragraphedeliste"/>
        <w:rPr>
          <w:bCs/>
          <w:color w:val="000000" w:themeColor="text1"/>
        </w:rPr>
      </w:pPr>
      <w:r w:rsidRPr="00B60342">
        <w:rPr>
          <w:rFonts w:cs="Arial"/>
          <w:color w:val="000000" w:themeColor="text1"/>
          <w:szCs w:val="19"/>
          <w:shd w:val="clear" w:color="auto" w:fill="95B3D7" w:themeFill="accent1" w:themeFillTint="99"/>
        </w:rPr>
        <w:sym w:font="Wingdings" w:char="F071"/>
      </w:r>
      <w:r w:rsidRPr="00B60342">
        <w:rPr>
          <w:rFonts w:cs="Arial"/>
          <w:color w:val="000000" w:themeColor="text1"/>
          <w:szCs w:val="19"/>
        </w:rPr>
        <w:t xml:space="preserve"> </w:t>
      </w:r>
      <w:r w:rsidR="00180726" w:rsidRPr="00B60342">
        <w:rPr>
          <w:bCs/>
          <w:color w:val="000000" w:themeColor="text1"/>
        </w:rPr>
        <w:t>enquête numérique</w:t>
      </w:r>
    </w:p>
    <w:p w14:paraId="61D2A971" w14:textId="6FED26CF" w:rsidR="00180726" w:rsidRPr="00B60342" w:rsidRDefault="00E53AE1" w:rsidP="00E53AE1">
      <w:pPr>
        <w:pStyle w:val="Paragraphedeliste"/>
        <w:rPr>
          <w:bCs/>
          <w:color w:val="000000" w:themeColor="text1"/>
        </w:rPr>
      </w:pPr>
      <w:r w:rsidRPr="00B60342">
        <w:rPr>
          <w:rFonts w:cs="Arial"/>
          <w:color w:val="000000" w:themeColor="text1"/>
          <w:szCs w:val="19"/>
          <w:shd w:val="clear" w:color="auto" w:fill="95B3D7" w:themeFill="accent1" w:themeFillTint="99"/>
        </w:rPr>
        <w:sym w:font="Wingdings" w:char="F071"/>
      </w:r>
      <w:r w:rsidRPr="00B60342">
        <w:rPr>
          <w:rFonts w:cs="Arial"/>
          <w:color w:val="000000" w:themeColor="text1"/>
          <w:szCs w:val="19"/>
        </w:rPr>
        <w:t xml:space="preserve"> </w:t>
      </w:r>
      <w:r w:rsidR="00180726" w:rsidRPr="00B60342">
        <w:rPr>
          <w:bCs/>
          <w:color w:val="000000" w:themeColor="text1"/>
        </w:rPr>
        <w:t xml:space="preserve">exposition / présentation </w:t>
      </w:r>
    </w:p>
    <w:p w14:paraId="29974F24" w14:textId="24647CE4" w:rsidR="00180726" w:rsidRPr="00B60342" w:rsidRDefault="00180726" w:rsidP="00E53AE1">
      <w:pPr>
        <w:pStyle w:val="Paragraphedeliste"/>
        <w:rPr>
          <w:bCs/>
          <w:color w:val="000000" w:themeColor="text1"/>
        </w:rPr>
      </w:pPr>
      <w:r w:rsidRPr="00B60342">
        <w:rPr>
          <w:rFonts w:cs="Arial"/>
          <w:color w:val="000000" w:themeColor="text1"/>
          <w:szCs w:val="19"/>
          <w:shd w:val="clear" w:color="auto" w:fill="95B3D7" w:themeFill="accent1" w:themeFillTint="99"/>
        </w:rPr>
        <w:sym w:font="Wingdings" w:char="F071"/>
      </w:r>
      <w:r w:rsidRPr="00B60342">
        <w:rPr>
          <w:rFonts w:cs="Arial"/>
          <w:color w:val="000000" w:themeColor="text1"/>
          <w:szCs w:val="19"/>
        </w:rPr>
        <w:t xml:space="preserve"> </w:t>
      </w:r>
      <w:r w:rsidRPr="00B60342">
        <w:rPr>
          <w:bCs/>
          <w:color w:val="000000" w:themeColor="text1"/>
          <w:shd w:val="clear" w:color="auto" w:fill="95B3D7" w:themeFill="accent1" w:themeFillTint="99"/>
        </w:rPr>
        <w:t>autres moyens de concertation</w:t>
      </w:r>
    </w:p>
    <w:p w14:paraId="35DB2D82" w14:textId="2D191039" w:rsidR="00180726" w:rsidRPr="00B60342" w:rsidRDefault="00180726" w:rsidP="00180726">
      <w:pPr>
        <w:pStyle w:val="Titre4"/>
      </w:pPr>
      <w:r w:rsidRPr="00B60342">
        <w:t>Article 5.2 – Communication au public</w:t>
      </w:r>
    </w:p>
    <w:p w14:paraId="2F7FEC34" w14:textId="791D9CAF" w:rsidR="0011663C" w:rsidRDefault="0011663C" w:rsidP="0011663C">
      <w:pPr>
        <w:jc w:val="both"/>
        <w:rPr>
          <w:bCs/>
        </w:rPr>
      </w:pPr>
      <w:r w:rsidRPr="00B60342">
        <w:rPr>
          <w:rFonts w:cs="Arial"/>
          <w:color w:val="000000" w:themeColor="text1"/>
          <w:szCs w:val="19"/>
          <w:shd w:val="clear" w:color="auto" w:fill="95B3D7" w:themeFill="accent1" w:themeFillTint="99"/>
        </w:rPr>
        <w:sym w:font="Wingdings" w:char="F071"/>
      </w:r>
      <w:r w:rsidRPr="0080409C">
        <w:rPr>
          <w:rFonts w:cs="Arial"/>
          <w:color w:val="000000" w:themeColor="text1"/>
          <w:szCs w:val="19"/>
        </w:rPr>
        <w:t xml:space="preserve"> </w:t>
      </w:r>
      <w:r w:rsidRPr="00C32863">
        <w:rPr>
          <w:rFonts w:cs="Arial"/>
          <w:szCs w:val="19"/>
        </w:rPr>
        <w:t xml:space="preserve">Le titulaire participe à la validation des </w:t>
      </w:r>
      <w:r w:rsidRPr="00C32863">
        <w:rPr>
          <w:bCs/>
        </w:rPr>
        <w:t xml:space="preserve">supports de communication établis par l’acheteur </w:t>
      </w:r>
      <w:r>
        <w:rPr>
          <w:bCs/>
        </w:rPr>
        <w:t xml:space="preserve">pour la valorisation du </w:t>
      </w:r>
      <w:r w:rsidRPr="00C32863">
        <w:rPr>
          <w:bCs/>
        </w:rPr>
        <w:t>plan-guide</w:t>
      </w:r>
      <w:r w:rsidR="00DF5F98">
        <w:rPr>
          <w:bCs/>
        </w:rPr>
        <w:t xml:space="preserve"> communal</w:t>
      </w:r>
    </w:p>
    <w:p w14:paraId="67239C28" w14:textId="7077F63A" w:rsidR="0011663C" w:rsidRDefault="0011663C" w:rsidP="0011663C">
      <w:pPr>
        <w:jc w:val="both"/>
        <w:rPr>
          <w:bCs/>
        </w:rPr>
      </w:pPr>
      <w:r w:rsidRPr="00B60342">
        <w:rPr>
          <w:rFonts w:cs="Arial"/>
          <w:color w:val="000000" w:themeColor="text1"/>
          <w:szCs w:val="19"/>
          <w:shd w:val="clear" w:color="auto" w:fill="95B3D7" w:themeFill="accent1" w:themeFillTint="99"/>
        </w:rPr>
        <w:sym w:font="Wingdings" w:char="F071"/>
      </w:r>
      <w:r w:rsidRPr="0080409C">
        <w:rPr>
          <w:rFonts w:cs="Arial"/>
          <w:color w:val="000000" w:themeColor="text1"/>
          <w:szCs w:val="19"/>
        </w:rPr>
        <w:t xml:space="preserve"> </w:t>
      </w:r>
      <w:r w:rsidRPr="00C32863">
        <w:rPr>
          <w:rFonts w:cs="Arial"/>
          <w:szCs w:val="19"/>
        </w:rPr>
        <w:t xml:space="preserve">Le titulaire </w:t>
      </w:r>
      <w:r>
        <w:rPr>
          <w:rFonts w:cs="Arial"/>
          <w:szCs w:val="19"/>
        </w:rPr>
        <w:t>réalise les supports</w:t>
      </w:r>
      <w:r w:rsidRPr="00C32863">
        <w:rPr>
          <w:bCs/>
        </w:rPr>
        <w:t xml:space="preserve"> de communication </w:t>
      </w:r>
      <w:r>
        <w:rPr>
          <w:bCs/>
        </w:rPr>
        <w:t>pour la valorisation du plan-guide</w:t>
      </w:r>
      <w:r w:rsidR="00DF5F98">
        <w:rPr>
          <w:bCs/>
        </w:rPr>
        <w:t xml:space="preserve"> communal</w:t>
      </w:r>
      <w:r>
        <w:rPr>
          <w:bCs/>
        </w:rPr>
        <w:t>.</w:t>
      </w:r>
    </w:p>
    <w:p w14:paraId="599543F5" w14:textId="6769D341" w:rsidR="0011663C" w:rsidRDefault="0011663C" w:rsidP="008C098B">
      <w:pPr>
        <w:rPr>
          <w:color w:val="000000" w:themeColor="text1"/>
        </w:rPr>
      </w:pPr>
      <w:r w:rsidRPr="002168C7">
        <w:rPr>
          <w:color w:val="000000" w:themeColor="text1"/>
        </w:rPr>
        <w:t xml:space="preserve">Le titulaire assiste l’acheteur </w:t>
      </w:r>
      <w:r w:rsidR="002168C7" w:rsidRPr="002168C7">
        <w:rPr>
          <w:color w:val="000000" w:themeColor="text1"/>
        </w:rPr>
        <w:t>pour</w:t>
      </w:r>
      <w:r w:rsidRPr="002168C7">
        <w:rPr>
          <w:color w:val="000000" w:themeColor="text1"/>
        </w:rPr>
        <w:t xml:space="preserve"> l’organisation </w:t>
      </w:r>
      <w:r w:rsidR="002168C7" w:rsidRPr="002168C7">
        <w:rPr>
          <w:color w:val="000000" w:themeColor="text1"/>
        </w:rPr>
        <w:t xml:space="preserve">et l’animation </w:t>
      </w:r>
      <w:r w:rsidRPr="002168C7">
        <w:rPr>
          <w:color w:val="000000" w:themeColor="text1"/>
        </w:rPr>
        <w:t xml:space="preserve">de la réunion publique de présentation du plan-guide </w:t>
      </w:r>
      <w:r w:rsidR="002168C7" w:rsidRPr="002168C7">
        <w:rPr>
          <w:color w:val="000000" w:themeColor="text1"/>
        </w:rPr>
        <w:t>communal.</w:t>
      </w:r>
      <w:r w:rsidR="002168C7">
        <w:rPr>
          <w:color w:val="000000" w:themeColor="text1"/>
        </w:rPr>
        <w:t xml:space="preserve"> </w:t>
      </w:r>
    </w:p>
    <w:p w14:paraId="61DA54B4" w14:textId="77777777" w:rsidR="008C098B" w:rsidRPr="008C098B" w:rsidRDefault="008C098B" w:rsidP="008C098B"/>
    <w:bookmarkEnd w:id="13"/>
    <w:bookmarkEnd w:id="14"/>
    <w:p w14:paraId="58740A16" w14:textId="668BE84C" w:rsidR="00A36CD5" w:rsidRPr="005C10CA" w:rsidRDefault="00A36CD5" w:rsidP="00A36CD5">
      <w:pPr>
        <w:pStyle w:val="Titre2"/>
      </w:pPr>
      <w:r w:rsidRPr="005C10CA">
        <w:t xml:space="preserve">Article  </w:t>
      </w:r>
      <w:r>
        <w:t>6</w:t>
      </w:r>
      <w:r w:rsidRPr="005C10CA">
        <w:t xml:space="preserve"> – DÉlais DE RÉALISATION </w:t>
      </w:r>
    </w:p>
    <w:p w14:paraId="1A128387" w14:textId="2D22A13F" w:rsidR="00DC5DCD" w:rsidRPr="005C10CA" w:rsidRDefault="00DC5DCD" w:rsidP="00DC5DCD">
      <w:pPr>
        <w:pStyle w:val="Titre4"/>
        <w:jc w:val="both"/>
      </w:pPr>
      <w:r w:rsidRPr="005C10CA">
        <w:t xml:space="preserve">Article </w:t>
      </w:r>
      <w:r>
        <w:t>6</w:t>
      </w:r>
      <w:r w:rsidRPr="005C10CA">
        <w:t>.1 – Démarrage de la mission</w:t>
      </w:r>
    </w:p>
    <w:p w14:paraId="534C8C30" w14:textId="77777777" w:rsidR="00DC5DCD" w:rsidRPr="005C10CA" w:rsidRDefault="00DC5DCD" w:rsidP="00DC5DCD">
      <w:pPr>
        <w:spacing w:after="120"/>
        <w:jc w:val="both"/>
      </w:pPr>
      <w:r w:rsidRPr="005C10CA">
        <w:rPr>
          <w:rFonts w:cs="Arial"/>
          <w:color w:val="000000" w:themeColor="text1"/>
          <w:szCs w:val="19"/>
          <w:shd w:val="clear" w:color="auto" w:fill="95B3D7" w:themeFill="accent1" w:themeFillTint="99"/>
        </w:rPr>
        <w:sym w:font="Wingdings" w:char="F071"/>
      </w:r>
      <w:r w:rsidRPr="005C10CA">
        <w:rPr>
          <w:rFonts w:cs="Arial"/>
          <w:color w:val="000000" w:themeColor="text1"/>
          <w:szCs w:val="19"/>
        </w:rPr>
        <w:t xml:space="preserve"> </w:t>
      </w:r>
      <w:r w:rsidRPr="005C10CA">
        <w:rPr>
          <w:sz w:val="20"/>
          <w:szCs w:val="20"/>
        </w:rPr>
        <w:t xml:space="preserve">L'exécution des prestations débute à compter </w:t>
      </w:r>
      <w:r w:rsidRPr="005C10CA">
        <w:rPr>
          <w:color w:val="000000" w:themeColor="text1"/>
          <w:sz w:val="20"/>
          <w:szCs w:val="20"/>
        </w:rPr>
        <w:t>de la date de notification du marché.</w:t>
      </w:r>
    </w:p>
    <w:p w14:paraId="3AAAE57B" w14:textId="77777777" w:rsidR="00DC5DCD" w:rsidRPr="005C10CA" w:rsidRDefault="00DC5DCD" w:rsidP="00DC5DCD">
      <w:pPr>
        <w:spacing w:after="120"/>
        <w:jc w:val="both"/>
      </w:pPr>
      <w:r w:rsidRPr="005C10CA">
        <w:rPr>
          <w:rFonts w:cs="Arial"/>
          <w:color w:val="000000" w:themeColor="text1"/>
          <w:szCs w:val="19"/>
          <w:shd w:val="clear" w:color="auto" w:fill="95B3D7" w:themeFill="accent1" w:themeFillTint="99"/>
        </w:rPr>
        <w:sym w:font="Wingdings" w:char="F071"/>
      </w:r>
      <w:r w:rsidRPr="005C10CA">
        <w:rPr>
          <w:rFonts w:cs="Arial"/>
          <w:color w:val="000000" w:themeColor="text1"/>
          <w:szCs w:val="19"/>
        </w:rPr>
        <w:t xml:space="preserve"> </w:t>
      </w:r>
      <w:r w:rsidRPr="005C10CA">
        <w:rPr>
          <w:sz w:val="20"/>
          <w:szCs w:val="20"/>
        </w:rPr>
        <w:t xml:space="preserve">L'exécution des prestations débute à compter </w:t>
      </w:r>
      <w:r w:rsidRPr="005C10CA">
        <w:rPr>
          <w:color w:val="000000" w:themeColor="text1"/>
          <w:sz w:val="20"/>
          <w:szCs w:val="20"/>
        </w:rPr>
        <w:t>de la notification d’un ordre de service de démarrage.</w:t>
      </w:r>
    </w:p>
    <w:p w14:paraId="76B3DA30" w14:textId="14330DC9" w:rsidR="00A36CD5" w:rsidRPr="005C10CA" w:rsidRDefault="00A36CD5" w:rsidP="00A36CD5">
      <w:pPr>
        <w:pStyle w:val="Titre4"/>
      </w:pPr>
      <w:r w:rsidRPr="005C10CA">
        <w:t xml:space="preserve">Article </w:t>
      </w:r>
      <w:r>
        <w:t>6</w:t>
      </w:r>
      <w:r w:rsidRPr="005C10CA">
        <w:t>.</w:t>
      </w:r>
      <w:r w:rsidR="00AE11C8">
        <w:t>2</w:t>
      </w:r>
      <w:r w:rsidRPr="005C10CA">
        <w:t xml:space="preserve"> – Délais d’exécution des prestations</w:t>
      </w:r>
    </w:p>
    <w:p w14:paraId="6CC6485D" w14:textId="375A6776" w:rsidR="00A36CD5" w:rsidRPr="005C10CA" w:rsidRDefault="00A36CD5" w:rsidP="00A36CD5">
      <w:r w:rsidRPr="005C10CA">
        <w:t xml:space="preserve">Les délais d’exécution sont indiqués à l’article 2.6 de l’acte d’engagement. </w:t>
      </w:r>
    </w:p>
    <w:p w14:paraId="0DD30B67" w14:textId="223FDB82" w:rsidR="00A36CD5" w:rsidRDefault="00A36CD5" w:rsidP="00A36CD5">
      <w:r w:rsidRPr="005C10CA">
        <w:t xml:space="preserve">Le point de départ des délais d’exécution est fixé </w:t>
      </w:r>
      <w:r w:rsidRPr="005C10CA">
        <w:rPr>
          <w:rFonts w:cs="Arial"/>
          <w:color w:val="000000" w:themeColor="text1"/>
          <w:szCs w:val="19"/>
          <w:shd w:val="clear" w:color="auto" w:fill="95B3D7" w:themeFill="accent1" w:themeFillTint="99"/>
        </w:rPr>
        <w:sym w:font="Wingdings" w:char="F071"/>
      </w:r>
      <w:r w:rsidRPr="005C10CA">
        <w:rPr>
          <w:rFonts w:cs="Arial"/>
          <w:color w:val="000000" w:themeColor="text1"/>
          <w:szCs w:val="19"/>
        </w:rPr>
        <w:t xml:space="preserve"> </w:t>
      </w:r>
      <w:r w:rsidRPr="005C10CA">
        <w:t xml:space="preserve">à la date de notification du marché pour la phase 1 et à la date de notification de l’ordre de service de démarrage de chaque phase. </w:t>
      </w:r>
      <w:r w:rsidRPr="005C10CA">
        <w:rPr>
          <w:rFonts w:cs="Arial"/>
          <w:color w:val="000000" w:themeColor="text1"/>
          <w:szCs w:val="19"/>
          <w:shd w:val="clear" w:color="auto" w:fill="95B3D7" w:themeFill="accent1" w:themeFillTint="99"/>
        </w:rPr>
        <w:sym w:font="Wingdings" w:char="F071"/>
      </w:r>
      <w:r w:rsidRPr="005C10CA">
        <w:rPr>
          <w:rFonts w:cs="Arial"/>
          <w:color w:val="000000" w:themeColor="text1"/>
          <w:szCs w:val="19"/>
        </w:rPr>
        <w:t xml:space="preserve"> </w:t>
      </w:r>
      <w:r w:rsidRPr="005C10CA">
        <w:t>à la date de notification de l’ordre de service de démarrage de chaque phase.</w:t>
      </w:r>
    </w:p>
    <w:p w14:paraId="559AD08F" w14:textId="668B5E12" w:rsidR="00A36CD5" w:rsidRPr="005C10CA" w:rsidRDefault="00A36CD5" w:rsidP="00A36CD5">
      <w:r>
        <w:lastRenderedPageBreak/>
        <w:t>En application de l’article 3.2.</w:t>
      </w:r>
      <w:r w:rsidR="00F72473">
        <w:t>6</w:t>
      </w:r>
      <w:r>
        <w:t xml:space="preserve"> du CCAG-PI, l</w:t>
      </w:r>
      <w:r w:rsidRPr="00A36CD5">
        <w:t>e</w:t>
      </w:r>
      <w:r>
        <w:t>s</w:t>
      </w:r>
      <w:r w:rsidRPr="00A36CD5">
        <w:t xml:space="preserve"> délai</w:t>
      </w:r>
      <w:r>
        <w:t>s d’exécution propre à chaque phase</w:t>
      </w:r>
      <w:r w:rsidRPr="00A36CD5">
        <w:t xml:space="preserve"> s'appliquant au titulaire n'inclu</w:t>
      </w:r>
      <w:r>
        <w:t>en</w:t>
      </w:r>
      <w:r w:rsidRPr="00A36CD5">
        <w:t>t pas le délai nécessaire à l'acheteur pour effectuer ses opérations de vérification et prendre sa décision</w:t>
      </w:r>
      <w:r>
        <w:t xml:space="preserve">. </w:t>
      </w:r>
    </w:p>
    <w:p w14:paraId="74692C61" w14:textId="1682420D" w:rsidR="00A36CD5" w:rsidRPr="005C10CA" w:rsidRDefault="00A36CD5" w:rsidP="00A36CD5">
      <w:pPr>
        <w:pStyle w:val="Titre4"/>
      </w:pPr>
      <w:r w:rsidRPr="005C10CA">
        <w:t xml:space="preserve">Article </w:t>
      </w:r>
      <w:r>
        <w:t>6</w:t>
      </w:r>
      <w:r w:rsidRPr="005C10CA">
        <w:t>.</w:t>
      </w:r>
      <w:r w:rsidR="00AE11C8">
        <w:t>3</w:t>
      </w:r>
      <w:r w:rsidRPr="005C10CA">
        <w:t xml:space="preserve"> – Prolongations des délais d’exécution</w:t>
      </w:r>
    </w:p>
    <w:p w14:paraId="01D88DC3" w14:textId="77777777" w:rsidR="00A36CD5" w:rsidRPr="005C10CA" w:rsidRDefault="00A36CD5" w:rsidP="00A36CD5">
      <w:pPr>
        <w:tabs>
          <w:tab w:val="left" w:pos="720"/>
          <w:tab w:val="left" w:pos="1080"/>
        </w:tabs>
        <w:jc w:val="both"/>
        <w:rPr>
          <w:rFonts w:cs="Arial"/>
          <w:szCs w:val="19"/>
        </w:rPr>
      </w:pPr>
      <w:r w:rsidRPr="005C10CA">
        <w:t xml:space="preserve">Il est fait application de l’article 13.3 du CCAG-PI. </w:t>
      </w:r>
    </w:p>
    <w:p w14:paraId="1A3E32A0" w14:textId="3092394A" w:rsidR="00C158B6" w:rsidRPr="005C10CA" w:rsidRDefault="00C158B6" w:rsidP="00C158B6">
      <w:pPr>
        <w:pStyle w:val="Titre2"/>
        <w:jc w:val="both"/>
      </w:pPr>
      <w:r w:rsidRPr="005C10CA">
        <w:t xml:space="preserve">Article </w:t>
      </w:r>
      <w:r w:rsidR="00A36CD5">
        <w:t>7</w:t>
      </w:r>
      <w:r w:rsidR="00A36CD5" w:rsidRPr="005C10CA">
        <w:t xml:space="preserve"> </w:t>
      </w:r>
      <w:r w:rsidRPr="005C10CA">
        <w:t>– ModalitÉs d’exÉcution du marchÉ</w:t>
      </w:r>
      <w:bookmarkEnd w:id="7"/>
      <w:bookmarkEnd w:id="8"/>
      <w:bookmarkEnd w:id="9"/>
      <w:r w:rsidRPr="005C10CA">
        <w:tab/>
      </w:r>
    </w:p>
    <w:p w14:paraId="0491F65D" w14:textId="1F17EFFC" w:rsidR="00C158B6" w:rsidRPr="005C10CA" w:rsidRDefault="00C158B6" w:rsidP="007B6ABE">
      <w:pPr>
        <w:pStyle w:val="Titre4"/>
      </w:pPr>
      <w:bookmarkStart w:id="15" w:name="_Toc528596385"/>
      <w:bookmarkStart w:id="16" w:name="_Toc19261810"/>
      <w:bookmarkStart w:id="17" w:name="_Toc73013627"/>
      <w:r w:rsidRPr="005C10CA">
        <w:t xml:space="preserve">Article </w:t>
      </w:r>
      <w:r w:rsidR="00A36CD5">
        <w:t>7</w:t>
      </w:r>
      <w:r w:rsidRPr="005C10CA">
        <w:t>.</w:t>
      </w:r>
      <w:r w:rsidR="00DC5DCD">
        <w:t>1</w:t>
      </w:r>
      <w:r w:rsidRPr="005C10CA">
        <w:t xml:space="preserve"> – Confidentialité, secrets professionnel</w:t>
      </w:r>
      <w:bookmarkEnd w:id="15"/>
      <w:bookmarkEnd w:id="16"/>
      <w:r w:rsidRPr="005C10CA">
        <w:t xml:space="preserve"> et commercial</w:t>
      </w:r>
      <w:bookmarkEnd w:id="17"/>
    </w:p>
    <w:p w14:paraId="6EA50F0C" w14:textId="326ACD49" w:rsidR="00C158B6" w:rsidRPr="005C10CA" w:rsidRDefault="00C158B6" w:rsidP="00C158B6">
      <w:pPr>
        <w:tabs>
          <w:tab w:val="left" w:pos="720"/>
          <w:tab w:val="left" w:pos="1080"/>
          <w:tab w:val="left" w:pos="1440"/>
          <w:tab w:val="left" w:pos="1800"/>
        </w:tabs>
        <w:jc w:val="both"/>
        <w:rPr>
          <w:rFonts w:cs="Arial"/>
          <w:color w:val="000000" w:themeColor="text1"/>
          <w:szCs w:val="19"/>
        </w:rPr>
      </w:pPr>
      <w:r w:rsidRPr="005C10CA">
        <w:rPr>
          <w:rFonts w:cs="Arial"/>
          <w:color w:val="000000" w:themeColor="text1"/>
          <w:szCs w:val="19"/>
        </w:rPr>
        <w:t>Il est fait application des stipulations de l’article 5.1 du CCAG-</w:t>
      </w:r>
      <w:r w:rsidR="00AE2651" w:rsidRPr="005C10CA">
        <w:rPr>
          <w:rFonts w:cs="Arial"/>
          <w:color w:val="000000" w:themeColor="text1"/>
          <w:szCs w:val="19"/>
        </w:rPr>
        <w:t>PI</w:t>
      </w:r>
      <w:r w:rsidRPr="005C10CA">
        <w:rPr>
          <w:rFonts w:cs="Arial"/>
          <w:color w:val="000000" w:themeColor="text1"/>
          <w:szCs w:val="19"/>
        </w:rPr>
        <w:t xml:space="preserve"> en matière d’obligations de confidentialité </w:t>
      </w:r>
      <w:r w:rsidR="00AE2651" w:rsidRPr="005C10CA">
        <w:rPr>
          <w:rFonts w:cs="Arial"/>
          <w:color w:val="000000" w:themeColor="text1"/>
          <w:szCs w:val="19"/>
        </w:rPr>
        <w:t xml:space="preserve">de l’acheteur et du titulaire. </w:t>
      </w:r>
    </w:p>
    <w:p w14:paraId="4652277C" w14:textId="43878C59" w:rsidR="000B4755" w:rsidRPr="005C10CA" w:rsidRDefault="000B4755" w:rsidP="00C158B6">
      <w:pPr>
        <w:tabs>
          <w:tab w:val="left" w:pos="720"/>
          <w:tab w:val="left" w:pos="1080"/>
          <w:tab w:val="left" w:pos="1440"/>
          <w:tab w:val="left" w:pos="1800"/>
        </w:tabs>
        <w:jc w:val="both"/>
        <w:rPr>
          <w:rFonts w:cs="Arial"/>
          <w:color w:val="000000" w:themeColor="text1"/>
          <w:szCs w:val="19"/>
        </w:rPr>
      </w:pPr>
      <w:r w:rsidRPr="005C10CA">
        <w:rPr>
          <w:rFonts w:cs="Arial"/>
          <w:color w:val="000000" w:themeColor="text1"/>
          <w:szCs w:val="19"/>
        </w:rPr>
        <w:t xml:space="preserve">Les données transmises au titulaire sont détruites dans les conditions définies à l’article 31 du CCAG-PI au terme de l’exécution du marché, ou le cas échéant lors de sa résiliation. </w:t>
      </w:r>
    </w:p>
    <w:p w14:paraId="1C270391" w14:textId="24953EF0" w:rsidR="000915F1" w:rsidRPr="005C10CA" w:rsidRDefault="000915F1" w:rsidP="000915F1">
      <w:pPr>
        <w:pStyle w:val="Titre4"/>
        <w:jc w:val="both"/>
      </w:pPr>
      <w:r w:rsidRPr="005C10CA">
        <w:t xml:space="preserve">Article </w:t>
      </w:r>
      <w:r w:rsidR="00A36CD5">
        <w:t>7</w:t>
      </w:r>
      <w:r w:rsidRPr="005C10CA">
        <w:t>.</w:t>
      </w:r>
      <w:r w:rsidR="00DC5DCD">
        <w:t>2</w:t>
      </w:r>
      <w:r w:rsidRPr="005C10CA">
        <w:t xml:space="preserve"> – Obligations environnementales</w:t>
      </w:r>
      <w:r w:rsidRPr="005C10CA">
        <w:tab/>
      </w:r>
    </w:p>
    <w:p w14:paraId="3C55C613" w14:textId="35219EBE" w:rsidR="000915F1" w:rsidRPr="005C10CA" w:rsidRDefault="000915F1" w:rsidP="000915F1">
      <w:pPr>
        <w:pStyle w:val="Titre5"/>
        <w:keepNext w:val="0"/>
        <w:keepLines w:val="0"/>
        <w:spacing w:line="276" w:lineRule="auto"/>
        <w:ind w:left="0"/>
        <w:jc w:val="both"/>
        <w:rPr>
          <w:b w:val="0"/>
          <w:bCs/>
        </w:rPr>
      </w:pPr>
      <w:r w:rsidRPr="005C10CA">
        <w:rPr>
          <w:b w:val="0"/>
          <w:bCs/>
        </w:rPr>
        <w:t>Dans le cadre de l’exécution des prestations, le titulaire est soumis aux obligations environnementales suivantes :</w:t>
      </w:r>
    </w:p>
    <w:p w14:paraId="4A977A8E" w14:textId="65C0178F" w:rsidR="000915F1" w:rsidRPr="005C10CA" w:rsidRDefault="0084674D" w:rsidP="00CC3968">
      <w:pPr>
        <w:spacing w:after="120"/>
        <w:jc w:val="both"/>
      </w:pPr>
      <w:r w:rsidRPr="005C10CA">
        <w:rPr>
          <w:rFonts w:cs="Arial"/>
          <w:color w:val="000000" w:themeColor="text1"/>
          <w:szCs w:val="19"/>
          <w:shd w:val="clear" w:color="auto" w:fill="95B3D7" w:themeFill="accent1" w:themeFillTint="99"/>
        </w:rPr>
        <w:t>-</w:t>
      </w:r>
      <w:r w:rsidRPr="005C10CA">
        <w:rPr>
          <w:rFonts w:cs="Arial"/>
          <w:color w:val="000000" w:themeColor="text1"/>
          <w:szCs w:val="19"/>
        </w:rPr>
        <w:t xml:space="preserve"> </w:t>
      </w:r>
      <w:r w:rsidRPr="005C10CA">
        <w:rPr>
          <w:rFonts w:cs="Arial"/>
          <w:color w:val="000000" w:themeColor="text1"/>
          <w:szCs w:val="19"/>
          <w:shd w:val="clear" w:color="auto" w:fill="95B3D7" w:themeFill="accent1" w:themeFillTint="99"/>
        </w:rPr>
        <w:t>Identifier les obligations environnementales pesant sur le titulaire</w:t>
      </w:r>
    </w:p>
    <w:p w14:paraId="4D3F2137" w14:textId="5F7C75FF" w:rsidR="00C158B6" w:rsidRPr="005C10CA" w:rsidRDefault="00C158B6" w:rsidP="00C158B6">
      <w:pPr>
        <w:pStyle w:val="Titre4"/>
        <w:jc w:val="both"/>
      </w:pPr>
      <w:bookmarkStart w:id="18" w:name="_Toc525573661"/>
      <w:bookmarkStart w:id="19" w:name="_Toc19261811"/>
      <w:bookmarkStart w:id="20" w:name="_Toc73013628"/>
      <w:bookmarkStart w:id="21" w:name="_Toc528596386"/>
      <w:r w:rsidRPr="005C10CA">
        <w:t xml:space="preserve">Article </w:t>
      </w:r>
      <w:r w:rsidR="00A36CD5">
        <w:t>7</w:t>
      </w:r>
      <w:r w:rsidRPr="005C10CA">
        <w:t>.</w:t>
      </w:r>
      <w:r w:rsidR="00DC5DCD">
        <w:t>3</w:t>
      </w:r>
      <w:r w:rsidRPr="005C10CA">
        <w:t xml:space="preserve"> – Présentation et vérification des prestations </w:t>
      </w:r>
      <w:bookmarkEnd w:id="18"/>
      <w:bookmarkEnd w:id="19"/>
      <w:bookmarkEnd w:id="20"/>
      <w:bookmarkEnd w:id="21"/>
    </w:p>
    <w:p w14:paraId="09EA1D84" w14:textId="39E22770" w:rsidR="00C158B6" w:rsidRPr="005C10CA" w:rsidRDefault="00C158B6" w:rsidP="00C158B6">
      <w:pPr>
        <w:pStyle w:val="Titre5"/>
        <w:jc w:val="both"/>
      </w:pPr>
      <w:bookmarkStart w:id="22" w:name="_Toc528596387"/>
      <w:bookmarkStart w:id="23" w:name="_Toc19261812"/>
      <w:bookmarkStart w:id="24" w:name="_Toc73013629"/>
      <w:r w:rsidRPr="005C10CA">
        <w:t xml:space="preserve">Article </w:t>
      </w:r>
      <w:r w:rsidR="00A36CD5">
        <w:t>7</w:t>
      </w:r>
      <w:r w:rsidR="007B6ABE">
        <w:t>.</w:t>
      </w:r>
      <w:r w:rsidR="00DC5DCD">
        <w:t>3</w:t>
      </w:r>
      <w:r w:rsidRPr="005C10CA">
        <w:t>.1 – Format et support pour la remise des études</w:t>
      </w:r>
      <w:bookmarkEnd w:id="22"/>
      <w:bookmarkEnd w:id="23"/>
      <w:bookmarkEnd w:id="24"/>
    </w:p>
    <w:p w14:paraId="757AFEF5" w14:textId="02C74A0D" w:rsidR="00C158B6" w:rsidRPr="005C10CA" w:rsidRDefault="00C158B6" w:rsidP="00C158B6">
      <w:pPr>
        <w:tabs>
          <w:tab w:val="left" w:pos="720"/>
          <w:tab w:val="left" w:pos="1080"/>
          <w:tab w:val="left" w:pos="1440"/>
          <w:tab w:val="left" w:pos="1800"/>
        </w:tabs>
        <w:jc w:val="both"/>
        <w:rPr>
          <w:rFonts w:cs="Arial"/>
          <w:color w:val="000000" w:themeColor="text1"/>
          <w:szCs w:val="19"/>
        </w:rPr>
      </w:pPr>
      <w:r w:rsidRPr="005C10CA">
        <w:rPr>
          <w:rFonts w:cs="Arial"/>
          <w:color w:val="000000" w:themeColor="text1"/>
          <w:szCs w:val="19"/>
        </w:rPr>
        <w:t xml:space="preserve">Les prestations </w:t>
      </w:r>
      <w:r w:rsidR="00D34A4D" w:rsidRPr="005C10CA">
        <w:rPr>
          <w:rFonts w:cs="Arial"/>
          <w:color w:val="000000" w:themeColor="text1"/>
          <w:szCs w:val="19"/>
        </w:rPr>
        <w:t xml:space="preserve">d’études </w:t>
      </w:r>
      <w:r w:rsidRPr="005C10CA">
        <w:rPr>
          <w:rFonts w:cs="Arial"/>
          <w:color w:val="000000" w:themeColor="text1"/>
          <w:szCs w:val="19"/>
        </w:rPr>
        <w:t>sont remises de façon dématérialisée par tout moyen de transmission permettant d’en attester la date de remise.</w:t>
      </w:r>
    </w:p>
    <w:p w14:paraId="0A93EB14" w14:textId="4B21BAA9" w:rsidR="00C158B6" w:rsidRPr="005C10CA" w:rsidRDefault="00C158B6" w:rsidP="00C158B6">
      <w:pPr>
        <w:tabs>
          <w:tab w:val="left" w:pos="720"/>
          <w:tab w:val="left" w:pos="1080"/>
          <w:tab w:val="left" w:pos="1440"/>
          <w:tab w:val="left" w:pos="1800"/>
        </w:tabs>
        <w:jc w:val="both"/>
        <w:rPr>
          <w:rFonts w:cs="Arial"/>
          <w:color w:val="000000" w:themeColor="text1"/>
          <w:szCs w:val="19"/>
        </w:rPr>
      </w:pPr>
      <w:r w:rsidRPr="005C10CA">
        <w:rPr>
          <w:rFonts w:cs="Arial"/>
          <w:color w:val="000000" w:themeColor="text1"/>
          <w:szCs w:val="19"/>
        </w:rPr>
        <w:t>L’acheteur et le titulaire s’accordent sur les formats informatiques des prestations remises de manière dématérialisée. A défaut, le titulaire devra fournir ses prestations sous formats génériques lisibles sans nécessiter l’acquisition de logiciels spécifiques, ou en fournissant à l’appui de ses prestations les logiciels de lecture adaptés, sans limitation de droits ni de durée.</w:t>
      </w:r>
    </w:p>
    <w:p w14:paraId="67AE0B4C" w14:textId="2C9B37AE" w:rsidR="00C158B6" w:rsidRPr="005C10CA" w:rsidRDefault="00AE2651" w:rsidP="00C158B6">
      <w:pPr>
        <w:tabs>
          <w:tab w:val="left" w:pos="720"/>
          <w:tab w:val="left" w:pos="1080"/>
          <w:tab w:val="left" w:pos="1440"/>
          <w:tab w:val="left" w:pos="1800"/>
        </w:tabs>
        <w:jc w:val="both"/>
        <w:rPr>
          <w:rFonts w:cs="Arial"/>
          <w:color w:val="000000" w:themeColor="text1"/>
          <w:szCs w:val="19"/>
        </w:rPr>
      </w:pPr>
      <w:r w:rsidRPr="005C10CA">
        <w:rPr>
          <w:rFonts w:cs="Arial"/>
          <w:color w:val="000000" w:themeColor="text1"/>
          <w:szCs w:val="19"/>
          <w:shd w:val="clear" w:color="auto" w:fill="95B3D7" w:themeFill="accent1" w:themeFillTint="99"/>
        </w:rPr>
        <w:sym w:font="Wingdings" w:char="F071"/>
      </w:r>
      <w:r w:rsidRPr="005C10CA">
        <w:rPr>
          <w:rFonts w:cs="Arial"/>
          <w:color w:val="000000" w:themeColor="text1"/>
          <w:szCs w:val="19"/>
        </w:rPr>
        <w:t xml:space="preserve"> </w:t>
      </w:r>
      <w:r w:rsidR="00C158B6" w:rsidRPr="005C10CA">
        <w:rPr>
          <w:rFonts w:cs="Arial"/>
          <w:color w:val="000000" w:themeColor="text1"/>
          <w:szCs w:val="19"/>
        </w:rPr>
        <w:t>Certaines prestations peuvent faire l’objet d’une remise matérialisée (dossier papier), dans les quantités définies ci-après :</w:t>
      </w: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420"/>
      </w:tblGrid>
      <w:tr w:rsidR="00C158B6" w:rsidRPr="005C10CA" w14:paraId="466712E0" w14:textId="77777777" w:rsidTr="00835389">
        <w:tc>
          <w:tcPr>
            <w:tcW w:w="4962" w:type="dxa"/>
            <w:tcBorders>
              <w:top w:val="nil"/>
              <w:left w:val="nil"/>
              <w:bottom w:val="single" w:sz="4" w:space="0" w:color="auto"/>
              <w:right w:val="single" w:sz="4" w:space="0" w:color="auto"/>
            </w:tcBorders>
          </w:tcPr>
          <w:p w14:paraId="1AF442D2" w14:textId="77777777" w:rsidR="00C158B6" w:rsidRPr="005C10CA" w:rsidRDefault="00C158B6" w:rsidP="00EE29AC">
            <w:pPr>
              <w:tabs>
                <w:tab w:val="left" w:pos="720"/>
                <w:tab w:val="left" w:pos="1260"/>
                <w:tab w:val="left" w:pos="1440"/>
                <w:tab w:val="left" w:pos="1800"/>
              </w:tabs>
              <w:jc w:val="both"/>
              <w:rPr>
                <w:rFonts w:cs="Arial"/>
                <w:szCs w:val="19"/>
              </w:rPr>
            </w:pPr>
          </w:p>
        </w:tc>
        <w:tc>
          <w:tcPr>
            <w:tcW w:w="5420" w:type="dxa"/>
            <w:tcBorders>
              <w:bottom w:val="single" w:sz="4" w:space="0" w:color="auto"/>
            </w:tcBorders>
            <w:vAlign w:val="center"/>
          </w:tcPr>
          <w:p w14:paraId="27B42E75" w14:textId="77777777" w:rsidR="00C158B6" w:rsidRPr="005C10CA" w:rsidRDefault="00C158B6" w:rsidP="00EE29AC">
            <w:pPr>
              <w:tabs>
                <w:tab w:val="left" w:pos="720"/>
                <w:tab w:val="left" w:pos="1260"/>
                <w:tab w:val="left" w:pos="1440"/>
                <w:tab w:val="left" w:pos="1800"/>
              </w:tabs>
              <w:spacing w:after="0" w:line="240" w:lineRule="auto"/>
              <w:jc w:val="center"/>
              <w:rPr>
                <w:rFonts w:cs="Arial"/>
                <w:szCs w:val="19"/>
              </w:rPr>
            </w:pPr>
            <w:r w:rsidRPr="005C10CA">
              <w:rPr>
                <w:rFonts w:cs="Arial"/>
                <w:szCs w:val="19"/>
              </w:rPr>
              <w:t>Nombre d'exemplaires</w:t>
            </w:r>
          </w:p>
        </w:tc>
      </w:tr>
      <w:tr w:rsidR="00C158B6" w:rsidRPr="005C10CA" w14:paraId="00FA9685" w14:textId="77777777" w:rsidTr="00F72473">
        <w:trPr>
          <w:trHeight w:val="217"/>
        </w:trPr>
        <w:tc>
          <w:tcPr>
            <w:tcW w:w="4962" w:type="dxa"/>
            <w:tcBorders>
              <w:top w:val="single" w:sz="4" w:space="0" w:color="auto"/>
              <w:left w:val="single" w:sz="4" w:space="0" w:color="auto"/>
              <w:bottom w:val="single" w:sz="4" w:space="0" w:color="auto"/>
              <w:right w:val="single" w:sz="4" w:space="0" w:color="auto"/>
            </w:tcBorders>
            <w:vAlign w:val="center"/>
          </w:tcPr>
          <w:p w14:paraId="3F1550E0" w14:textId="77777777" w:rsidR="00A54960" w:rsidRDefault="00A54960" w:rsidP="00F72473">
            <w:pPr>
              <w:tabs>
                <w:tab w:val="left" w:pos="720"/>
                <w:tab w:val="left" w:pos="1260"/>
                <w:tab w:val="left" w:pos="1440"/>
                <w:tab w:val="left" w:pos="1800"/>
              </w:tabs>
              <w:spacing w:after="0" w:line="240" w:lineRule="auto"/>
              <w:rPr>
                <w:rFonts w:cs="Arial"/>
                <w:color w:val="000000" w:themeColor="text1"/>
                <w:szCs w:val="19"/>
                <w:shd w:val="clear" w:color="auto" w:fill="95B3D7" w:themeFill="accent1" w:themeFillTint="99"/>
              </w:rPr>
            </w:pPr>
          </w:p>
          <w:p w14:paraId="28F34833" w14:textId="0F796F1C" w:rsidR="00A54960" w:rsidRDefault="00F72473" w:rsidP="00F72473">
            <w:pPr>
              <w:tabs>
                <w:tab w:val="left" w:pos="720"/>
                <w:tab w:val="left" w:pos="1260"/>
                <w:tab w:val="left" w:pos="1440"/>
                <w:tab w:val="left" w:pos="1800"/>
              </w:tabs>
              <w:spacing w:after="0" w:line="240" w:lineRule="auto"/>
              <w:rPr>
                <w:rFonts w:cs="Arial"/>
                <w:color w:val="000000" w:themeColor="text1"/>
                <w:szCs w:val="19"/>
                <w:shd w:val="clear" w:color="auto" w:fill="95B3D7" w:themeFill="accent1" w:themeFillTint="99"/>
              </w:rPr>
            </w:pPr>
            <w:r>
              <w:rPr>
                <w:rFonts w:cs="Arial"/>
                <w:color w:val="000000" w:themeColor="text1"/>
                <w:szCs w:val="19"/>
                <w:shd w:val="clear" w:color="auto" w:fill="95B3D7" w:themeFill="accent1" w:themeFillTint="99"/>
              </w:rPr>
              <w:t>Prestations de la p</w:t>
            </w:r>
            <w:r w:rsidR="00A54960">
              <w:rPr>
                <w:rFonts w:cs="Arial"/>
                <w:color w:val="000000" w:themeColor="text1"/>
                <w:szCs w:val="19"/>
                <w:shd w:val="clear" w:color="auto" w:fill="95B3D7" w:themeFill="accent1" w:themeFillTint="99"/>
              </w:rPr>
              <w:t>hase 1</w:t>
            </w:r>
          </w:p>
          <w:p w14:paraId="7B4BE314" w14:textId="51E24DA8" w:rsidR="00A54960" w:rsidRPr="005C10CA" w:rsidRDefault="00A54960" w:rsidP="00F72473">
            <w:pPr>
              <w:tabs>
                <w:tab w:val="left" w:pos="720"/>
                <w:tab w:val="left" w:pos="1260"/>
                <w:tab w:val="left" w:pos="1440"/>
                <w:tab w:val="left" w:pos="1800"/>
              </w:tabs>
              <w:spacing w:after="0" w:line="240" w:lineRule="auto"/>
              <w:rPr>
                <w:rFonts w:cs="Arial"/>
                <w:szCs w:val="19"/>
              </w:rPr>
            </w:pPr>
          </w:p>
        </w:tc>
        <w:tc>
          <w:tcPr>
            <w:tcW w:w="542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9536FF3" w14:textId="77777777" w:rsidR="00C158B6" w:rsidRPr="005C10CA" w:rsidRDefault="00C158B6" w:rsidP="00F72473">
            <w:pPr>
              <w:tabs>
                <w:tab w:val="left" w:pos="720"/>
                <w:tab w:val="left" w:pos="1260"/>
                <w:tab w:val="left" w:pos="1440"/>
                <w:tab w:val="left" w:pos="1800"/>
              </w:tabs>
              <w:spacing w:after="0" w:line="240" w:lineRule="auto"/>
              <w:rPr>
                <w:rFonts w:cs="Arial"/>
                <w:szCs w:val="19"/>
              </w:rPr>
            </w:pPr>
          </w:p>
        </w:tc>
      </w:tr>
      <w:tr w:rsidR="00F72473" w:rsidRPr="005C10CA" w14:paraId="0C3764B7" w14:textId="77777777" w:rsidTr="00F72473">
        <w:trPr>
          <w:trHeight w:val="441"/>
        </w:trPr>
        <w:tc>
          <w:tcPr>
            <w:tcW w:w="4962" w:type="dxa"/>
            <w:tcBorders>
              <w:top w:val="single" w:sz="4" w:space="0" w:color="auto"/>
              <w:left w:val="single" w:sz="4" w:space="0" w:color="auto"/>
              <w:bottom w:val="single" w:sz="4" w:space="0" w:color="auto"/>
              <w:right w:val="single" w:sz="4" w:space="0" w:color="auto"/>
            </w:tcBorders>
            <w:vAlign w:val="center"/>
          </w:tcPr>
          <w:p w14:paraId="4DB317C0" w14:textId="37899909" w:rsidR="00F72473" w:rsidRPr="005C10CA" w:rsidRDefault="00F72473" w:rsidP="00F72473">
            <w:pPr>
              <w:tabs>
                <w:tab w:val="left" w:pos="720"/>
                <w:tab w:val="left" w:pos="1260"/>
                <w:tab w:val="left" w:pos="1440"/>
                <w:tab w:val="left" w:pos="1800"/>
              </w:tabs>
              <w:spacing w:after="0" w:line="240" w:lineRule="auto"/>
              <w:rPr>
                <w:rFonts w:cs="Arial"/>
                <w:color w:val="000000" w:themeColor="text1"/>
                <w:szCs w:val="19"/>
                <w:shd w:val="clear" w:color="auto" w:fill="95B3D7" w:themeFill="accent1" w:themeFillTint="99"/>
              </w:rPr>
            </w:pPr>
            <w:r>
              <w:rPr>
                <w:rFonts w:cs="Arial"/>
                <w:color w:val="000000" w:themeColor="text1"/>
                <w:szCs w:val="19"/>
                <w:shd w:val="clear" w:color="auto" w:fill="95B3D7" w:themeFill="accent1" w:themeFillTint="99"/>
              </w:rPr>
              <w:t>Prestations de la phase 2</w:t>
            </w:r>
          </w:p>
        </w:tc>
        <w:tc>
          <w:tcPr>
            <w:tcW w:w="542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AA30D05" w14:textId="77777777" w:rsidR="00F72473" w:rsidRPr="005C10CA" w:rsidRDefault="00F72473" w:rsidP="00F72473">
            <w:pPr>
              <w:tabs>
                <w:tab w:val="left" w:pos="720"/>
                <w:tab w:val="left" w:pos="1260"/>
                <w:tab w:val="left" w:pos="1440"/>
                <w:tab w:val="left" w:pos="1800"/>
              </w:tabs>
              <w:spacing w:after="0" w:line="240" w:lineRule="auto"/>
              <w:rPr>
                <w:rFonts w:cs="Arial"/>
                <w:szCs w:val="19"/>
              </w:rPr>
            </w:pPr>
          </w:p>
        </w:tc>
      </w:tr>
      <w:tr w:rsidR="00F72473" w:rsidRPr="005C10CA" w14:paraId="4BBBD6FD" w14:textId="77777777" w:rsidTr="00F72473">
        <w:trPr>
          <w:trHeight w:val="406"/>
        </w:trPr>
        <w:tc>
          <w:tcPr>
            <w:tcW w:w="4962" w:type="dxa"/>
            <w:tcBorders>
              <w:top w:val="single" w:sz="4" w:space="0" w:color="auto"/>
              <w:left w:val="single" w:sz="4" w:space="0" w:color="auto"/>
              <w:bottom w:val="single" w:sz="4" w:space="0" w:color="808080"/>
              <w:right w:val="single" w:sz="4" w:space="0" w:color="auto"/>
            </w:tcBorders>
            <w:vAlign w:val="center"/>
          </w:tcPr>
          <w:p w14:paraId="672499BF" w14:textId="71C9FA19" w:rsidR="00F72473" w:rsidRPr="005C10CA" w:rsidRDefault="00F72473" w:rsidP="00F72473">
            <w:pPr>
              <w:tabs>
                <w:tab w:val="left" w:pos="720"/>
                <w:tab w:val="left" w:pos="1260"/>
                <w:tab w:val="left" w:pos="1440"/>
                <w:tab w:val="left" w:pos="1800"/>
              </w:tabs>
              <w:spacing w:after="0" w:line="240" w:lineRule="auto"/>
              <w:rPr>
                <w:rFonts w:cs="Arial"/>
                <w:color w:val="000000" w:themeColor="text1"/>
                <w:szCs w:val="19"/>
                <w:shd w:val="clear" w:color="auto" w:fill="95B3D7" w:themeFill="accent1" w:themeFillTint="99"/>
              </w:rPr>
            </w:pPr>
            <w:r>
              <w:rPr>
                <w:rFonts w:cs="Arial"/>
                <w:color w:val="000000" w:themeColor="text1"/>
                <w:szCs w:val="19"/>
                <w:shd w:val="clear" w:color="auto" w:fill="95B3D7" w:themeFill="accent1" w:themeFillTint="99"/>
              </w:rPr>
              <w:t>Prestation de la phase 3</w:t>
            </w:r>
          </w:p>
        </w:tc>
        <w:tc>
          <w:tcPr>
            <w:tcW w:w="542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22B21C9" w14:textId="77777777" w:rsidR="00F72473" w:rsidRPr="005C10CA" w:rsidRDefault="00F72473" w:rsidP="00F72473">
            <w:pPr>
              <w:tabs>
                <w:tab w:val="left" w:pos="720"/>
                <w:tab w:val="left" w:pos="1260"/>
                <w:tab w:val="left" w:pos="1440"/>
                <w:tab w:val="left" w:pos="1800"/>
              </w:tabs>
              <w:spacing w:after="0" w:line="240" w:lineRule="auto"/>
              <w:rPr>
                <w:rFonts w:cs="Arial"/>
                <w:szCs w:val="19"/>
              </w:rPr>
            </w:pPr>
          </w:p>
        </w:tc>
      </w:tr>
    </w:tbl>
    <w:p w14:paraId="334396F7" w14:textId="77777777" w:rsidR="00C158B6" w:rsidRPr="005C10CA" w:rsidRDefault="00C158B6" w:rsidP="00C158B6">
      <w:pPr>
        <w:tabs>
          <w:tab w:val="left" w:pos="720"/>
          <w:tab w:val="left" w:pos="1080"/>
          <w:tab w:val="left" w:pos="1440"/>
          <w:tab w:val="left" w:pos="1800"/>
        </w:tabs>
        <w:jc w:val="both"/>
        <w:rPr>
          <w:rFonts w:cs="Arial"/>
          <w:b/>
          <w:bCs/>
          <w:color w:val="815A4D"/>
          <w:szCs w:val="19"/>
        </w:rPr>
      </w:pPr>
    </w:p>
    <w:p w14:paraId="3CB1F5D2" w14:textId="5C04D475" w:rsidR="00D34A4D" w:rsidRPr="005C10CA" w:rsidRDefault="00D34A4D" w:rsidP="00D34A4D">
      <w:pPr>
        <w:pStyle w:val="Titre5"/>
        <w:jc w:val="both"/>
      </w:pPr>
      <w:bookmarkStart w:id="25" w:name="_Toc528596389"/>
      <w:bookmarkStart w:id="26" w:name="_Toc19261815"/>
      <w:bookmarkStart w:id="27" w:name="_Toc73013632"/>
      <w:r w:rsidRPr="005C10CA">
        <w:t xml:space="preserve">Article </w:t>
      </w:r>
      <w:r w:rsidR="00A36CD5">
        <w:t>7</w:t>
      </w:r>
      <w:r w:rsidRPr="005C10CA">
        <w:t>.</w:t>
      </w:r>
      <w:r w:rsidR="00DC5DCD">
        <w:t>3</w:t>
      </w:r>
      <w:r w:rsidRPr="005C10CA">
        <w:t>.</w:t>
      </w:r>
      <w:r w:rsidR="009D64DF" w:rsidRPr="005C10CA">
        <w:t>2</w:t>
      </w:r>
      <w:r w:rsidRPr="005C10CA">
        <w:t xml:space="preserve"> – Décisions </w:t>
      </w:r>
      <w:r w:rsidR="009D64DF" w:rsidRPr="005C10CA">
        <w:t>d’admission</w:t>
      </w:r>
      <w:r w:rsidR="00D12313" w:rsidRPr="005C10CA">
        <w:t>,</w:t>
      </w:r>
      <w:r w:rsidR="009D64DF" w:rsidRPr="005C10CA">
        <w:t xml:space="preserve"> </w:t>
      </w:r>
      <w:r w:rsidRPr="005C10CA">
        <w:t>d’ajournement, de réfaction ou du rejet notifiées par l</w:t>
      </w:r>
      <w:bookmarkEnd w:id="25"/>
      <w:bookmarkEnd w:id="26"/>
      <w:bookmarkEnd w:id="27"/>
      <w:r w:rsidR="00D12313" w:rsidRPr="005C10CA">
        <w:t>’acheteur</w:t>
      </w:r>
    </w:p>
    <w:p w14:paraId="2201BAE3" w14:textId="61C12625" w:rsidR="00C67941" w:rsidRPr="005C10CA" w:rsidRDefault="00C67941" w:rsidP="00C67941">
      <w:pPr>
        <w:rPr>
          <w:szCs w:val="19"/>
          <w:highlight w:val="yellow"/>
        </w:rPr>
      </w:pPr>
      <w:r w:rsidRPr="005C10CA">
        <w:rPr>
          <w:rFonts w:cs="Arial"/>
          <w:color w:val="000000"/>
          <w:szCs w:val="19"/>
          <w:shd w:val="clear" w:color="auto" w:fill="FFFFFF"/>
        </w:rPr>
        <w:t xml:space="preserve">Par dérogation à l’article 28.2 du CCAG-PI, l'acheteur dispose d'un délai de </w:t>
      </w:r>
      <w:r w:rsidRPr="005C10CA">
        <w:rPr>
          <w:rFonts w:cs="Arial"/>
          <w:color w:val="000000" w:themeColor="text1"/>
          <w:szCs w:val="19"/>
          <w:shd w:val="clear" w:color="auto" w:fill="95B3D7" w:themeFill="accent1" w:themeFillTint="99"/>
        </w:rPr>
        <w:t>XX jours</w:t>
      </w:r>
      <w:r w:rsidRPr="005C10CA">
        <w:rPr>
          <w:rFonts w:cs="Arial"/>
          <w:color w:val="000000"/>
          <w:szCs w:val="19"/>
          <w:shd w:val="clear" w:color="auto" w:fill="FFFFFF"/>
        </w:rPr>
        <w:t xml:space="preserve"> pour procéder aux vérifications et notifier sa décision d'admission, d'ajournement, d'admission avec réfaction ou de rejet de chaque phase.</w:t>
      </w:r>
    </w:p>
    <w:p w14:paraId="7706CB02" w14:textId="6164C466" w:rsidR="009D64DF" w:rsidRPr="005C10CA" w:rsidRDefault="009D64DF" w:rsidP="009D64DF">
      <w:pPr>
        <w:tabs>
          <w:tab w:val="left" w:pos="720"/>
          <w:tab w:val="left" w:pos="1080"/>
          <w:tab w:val="left" w:pos="1440"/>
          <w:tab w:val="left" w:pos="1800"/>
        </w:tabs>
        <w:jc w:val="both"/>
        <w:rPr>
          <w:rFonts w:cs="Arial"/>
          <w:color w:val="000000" w:themeColor="text1"/>
          <w:szCs w:val="19"/>
        </w:rPr>
      </w:pPr>
      <w:r w:rsidRPr="005C10CA">
        <w:rPr>
          <w:rFonts w:cs="Arial"/>
          <w:color w:val="000000" w:themeColor="text1"/>
          <w:szCs w:val="19"/>
        </w:rPr>
        <w:t xml:space="preserve">Si la décision </w:t>
      </w:r>
      <w:r w:rsidR="00C67941" w:rsidRPr="005C10CA">
        <w:rPr>
          <w:rFonts w:cs="Arial"/>
          <w:color w:val="000000" w:themeColor="text1"/>
          <w:szCs w:val="19"/>
        </w:rPr>
        <w:t>de l’acheteur</w:t>
      </w:r>
      <w:r w:rsidRPr="005C10CA">
        <w:rPr>
          <w:rFonts w:cs="Arial"/>
          <w:color w:val="000000" w:themeColor="text1"/>
          <w:szCs w:val="19"/>
        </w:rPr>
        <w:t xml:space="preserve"> n'est pas notifiée au </w:t>
      </w:r>
      <w:r w:rsidR="00C67941" w:rsidRPr="005C10CA">
        <w:rPr>
          <w:rFonts w:cs="Arial"/>
          <w:color w:val="000000" w:themeColor="text1"/>
          <w:szCs w:val="19"/>
        </w:rPr>
        <w:t xml:space="preserve">titulaire </w:t>
      </w:r>
      <w:r w:rsidRPr="005C10CA">
        <w:rPr>
          <w:rFonts w:cs="Arial"/>
          <w:color w:val="000000" w:themeColor="text1"/>
          <w:szCs w:val="19"/>
        </w:rPr>
        <w:t xml:space="preserve">dans les délais définis ci-dessus ou si </w:t>
      </w:r>
      <w:r w:rsidR="00C67941" w:rsidRPr="005C10CA">
        <w:rPr>
          <w:rFonts w:cs="Arial"/>
          <w:color w:val="000000" w:themeColor="text1"/>
          <w:szCs w:val="19"/>
        </w:rPr>
        <w:t xml:space="preserve">l’acheteur </w:t>
      </w:r>
      <w:r w:rsidRPr="005C10CA">
        <w:rPr>
          <w:rFonts w:cs="Arial"/>
          <w:color w:val="000000" w:themeColor="text1"/>
          <w:szCs w:val="19"/>
        </w:rPr>
        <w:t xml:space="preserve">décide de notifier le démarrage de </w:t>
      </w:r>
      <w:r w:rsidR="00C67941" w:rsidRPr="005C10CA">
        <w:rPr>
          <w:rFonts w:cs="Arial"/>
          <w:color w:val="000000" w:themeColor="text1"/>
          <w:szCs w:val="19"/>
        </w:rPr>
        <w:t>la phase suivante</w:t>
      </w:r>
      <w:r w:rsidRPr="005C10CA">
        <w:rPr>
          <w:rFonts w:cs="Arial"/>
          <w:color w:val="000000" w:themeColor="text1"/>
          <w:szCs w:val="19"/>
        </w:rPr>
        <w:t>, les prestations sont considérées comme admises, avec effet à compter de l'expiration du délai</w:t>
      </w:r>
      <w:r w:rsidR="00C67941" w:rsidRPr="005C10CA">
        <w:rPr>
          <w:rFonts w:cs="Arial"/>
          <w:color w:val="000000" w:themeColor="text1"/>
          <w:szCs w:val="19"/>
        </w:rPr>
        <w:t>.</w:t>
      </w:r>
      <w:r w:rsidR="00D12313" w:rsidRPr="005C10CA">
        <w:rPr>
          <w:rFonts w:cs="Arial"/>
          <w:color w:val="000000" w:themeColor="text1"/>
          <w:szCs w:val="19"/>
        </w:rPr>
        <w:t xml:space="preserve"> </w:t>
      </w:r>
      <w:r w:rsidRPr="005C10CA">
        <w:rPr>
          <w:rFonts w:cs="Arial"/>
          <w:color w:val="000000" w:themeColor="text1"/>
          <w:szCs w:val="19"/>
        </w:rPr>
        <w:t xml:space="preserve">L'admission tacite ne vaut pas ordre de service de commencer </w:t>
      </w:r>
      <w:r w:rsidR="00C36C79">
        <w:rPr>
          <w:rFonts w:cs="Arial"/>
          <w:color w:val="000000" w:themeColor="text1"/>
          <w:szCs w:val="19"/>
        </w:rPr>
        <w:t xml:space="preserve">la phase suivante. </w:t>
      </w:r>
    </w:p>
    <w:p w14:paraId="65282014" w14:textId="591E433C" w:rsidR="009D64DF" w:rsidRPr="005C10CA" w:rsidRDefault="00170510" w:rsidP="00D34A4D">
      <w:pPr>
        <w:jc w:val="both"/>
        <w:rPr>
          <w:color w:val="000000" w:themeColor="text1"/>
          <w:szCs w:val="19"/>
        </w:rPr>
      </w:pPr>
      <w:r w:rsidRPr="00170510">
        <w:rPr>
          <w:rFonts w:cs="Arial"/>
          <w:color w:val="000000"/>
          <w:szCs w:val="19"/>
          <w:shd w:val="clear" w:color="auto" w:fill="FFFFFF"/>
        </w:rPr>
        <w:t>Les prestations sont approuvées dans les conditions définies par l’article 29 du CCAG-PI.</w:t>
      </w:r>
    </w:p>
    <w:p w14:paraId="12304EA3" w14:textId="5C74752E" w:rsidR="00D34A4D" w:rsidRPr="005C10CA" w:rsidRDefault="00D34A4D" w:rsidP="00D34A4D">
      <w:pPr>
        <w:jc w:val="both"/>
        <w:rPr>
          <w:color w:val="000000" w:themeColor="text1"/>
          <w:szCs w:val="19"/>
        </w:rPr>
      </w:pPr>
      <w:r w:rsidRPr="005C10CA">
        <w:rPr>
          <w:color w:val="000000" w:themeColor="text1"/>
          <w:szCs w:val="19"/>
        </w:rPr>
        <w:t xml:space="preserve">Si </w:t>
      </w:r>
      <w:r w:rsidR="00170510" w:rsidRPr="005C10CA">
        <w:rPr>
          <w:color w:val="000000" w:themeColor="text1"/>
          <w:szCs w:val="19"/>
        </w:rPr>
        <w:t>l’acheteur</w:t>
      </w:r>
      <w:r w:rsidRPr="005C10CA">
        <w:rPr>
          <w:color w:val="000000" w:themeColor="text1"/>
          <w:szCs w:val="19"/>
        </w:rPr>
        <w:t xml:space="preserve"> n’admet pas les études remises par le </w:t>
      </w:r>
      <w:r w:rsidR="000134EF" w:rsidRPr="005C10CA">
        <w:rPr>
          <w:color w:val="000000" w:themeColor="text1"/>
          <w:szCs w:val="19"/>
        </w:rPr>
        <w:t>titulaire</w:t>
      </w:r>
      <w:r w:rsidRPr="005C10CA">
        <w:rPr>
          <w:color w:val="000000" w:themeColor="text1"/>
          <w:szCs w:val="19"/>
        </w:rPr>
        <w:t xml:space="preserve">, il peut prendre les décisions suivantes : </w:t>
      </w:r>
    </w:p>
    <w:p w14:paraId="6245726B" w14:textId="593C7781" w:rsidR="00D34A4D" w:rsidRPr="005C10CA" w:rsidRDefault="00D34A4D" w:rsidP="00D34A4D">
      <w:pPr>
        <w:numPr>
          <w:ilvl w:val="0"/>
          <w:numId w:val="16"/>
        </w:numPr>
        <w:tabs>
          <w:tab w:val="left" w:pos="720"/>
          <w:tab w:val="left" w:pos="1080"/>
          <w:tab w:val="left" w:pos="1440"/>
          <w:tab w:val="left" w:pos="1800"/>
        </w:tabs>
        <w:spacing w:after="0" w:line="240" w:lineRule="auto"/>
        <w:jc w:val="both"/>
        <w:rPr>
          <w:rFonts w:cs="Arial"/>
          <w:color w:val="000000" w:themeColor="text1"/>
          <w:szCs w:val="19"/>
        </w:rPr>
      </w:pPr>
      <w:r w:rsidRPr="005C10CA">
        <w:rPr>
          <w:rFonts w:cs="Arial"/>
          <w:color w:val="000000" w:themeColor="text1"/>
          <w:szCs w:val="19"/>
        </w:rPr>
        <w:lastRenderedPageBreak/>
        <w:t>ajournement dans les conditions définies par l’article 2</w:t>
      </w:r>
      <w:r w:rsidR="00D12313" w:rsidRPr="005C10CA">
        <w:rPr>
          <w:rFonts w:cs="Arial"/>
          <w:color w:val="000000" w:themeColor="text1"/>
          <w:szCs w:val="19"/>
        </w:rPr>
        <w:t>9</w:t>
      </w:r>
      <w:r w:rsidRPr="005C10CA">
        <w:rPr>
          <w:rFonts w:cs="Arial"/>
          <w:color w:val="000000" w:themeColor="text1"/>
          <w:szCs w:val="19"/>
        </w:rPr>
        <w:t>.2 du CCAG-</w:t>
      </w:r>
      <w:r w:rsidR="00D12313" w:rsidRPr="005C10CA">
        <w:rPr>
          <w:rFonts w:cs="Arial"/>
          <w:color w:val="000000" w:themeColor="text1"/>
          <w:szCs w:val="19"/>
        </w:rPr>
        <w:t>PI</w:t>
      </w:r>
      <w:r w:rsidRPr="005C10CA">
        <w:rPr>
          <w:rFonts w:cs="Arial"/>
          <w:color w:val="000000" w:themeColor="text1"/>
          <w:szCs w:val="19"/>
        </w:rPr>
        <w:t> ;</w:t>
      </w:r>
    </w:p>
    <w:p w14:paraId="1D435D59" w14:textId="4D3C5B92" w:rsidR="00D34A4D" w:rsidRPr="005C10CA" w:rsidRDefault="00D34A4D" w:rsidP="00D34A4D">
      <w:pPr>
        <w:numPr>
          <w:ilvl w:val="0"/>
          <w:numId w:val="16"/>
        </w:numPr>
        <w:tabs>
          <w:tab w:val="left" w:pos="720"/>
          <w:tab w:val="left" w:pos="1080"/>
          <w:tab w:val="left" w:pos="1440"/>
          <w:tab w:val="left" w:pos="1800"/>
        </w:tabs>
        <w:spacing w:after="0" w:line="240" w:lineRule="auto"/>
        <w:jc w:val="both"/>
        <w:rPr>
          <w:rFonts w:cs="Arial"/>
          <w:color w:val="000000" w:themeColor="text1"/>
          <w:szCs w:val="19"/>
        </w:rPr>
      </w:pPr>
      <w:r w:rsidRPr="005C10CA">
        <w:rPr>
          <w:rFonts w:cs="Arial"/>
          <w:color w:val="000000" w:themeColor="text1"/>
          <w:szCs w:val="19"/>
        </w:rPr>
        <w:t>réfaction dans les conditions définies par l’article 2</w:t>
      </w:r>
      <w:r w:rsidR="00D12313" w:rsidRPr="005C10CA">
        <w:rPr>
          <w:rFonts w:cs="Arial"/>
          <w:color w:val="000000" w:themeColor="text1"/>
          <w:szCs w:val="19"/>
        </w:rPr>
        <w:t>9.3</w:t>
      </w:r>
      <w:r w:rsidRPr="005C10CA">
        <w:rPr>
          <w:rFonts w:cs="Arial"/>
          <w:color w:val="000000" w:themeColor="text1"/>
          <w:szCs w:val="19"/>
        </w:rPr>
        <w:t xml:space="preserve"> du CCAG-</w:t>
      </w:r>
      <w:r w:rsidR="00D12313" w:rsidRPr="005C10CA">
        <w:rPr>
          <w:rFonts w:cs="Arial"/>
          <w:color w:val="000000" w:themeColor="text1"/>
          <w:szCs w:val="19"/>
        </w:rPr>
        <w:t>PI</w:t>
      </w:r>
      <w:r w:rsidRPr="005C10CA">
        <w:rPr>
          <w:rFonts w:cs="Arial"/>
          <w:color w:val="000000" w:themeColor="text1"/>
          <w:szCs w:val="19"/>
        </w:rPr>
        <w:t> ;</w:t>
      </w:r>
    </w:p>
    <w:p w14:paraId="3C60D714" w14:textId="1BD6F2D2" w:rsidR="00D34A4D" w:rsidRPr="005C10CA" w:rsidRDefault="00D34A4D" w:rsidP="00D34A4D">
      <w:pPr>
        <w:numPr>
          <w:ilvl w:val="0"/>
          <w:numId w:val="16"/>
        </w:numPr>
        <w:shd w:val="clear" w:color="auto" w:fill="FFFFFF"/>
        <w:tabs>
          <w:tab w:val="left" w:pos="720"/>
          <w:tab w:val="left" w:pos="1080"/>
          <w:tab w:val="left" w:pos="1440"/>
          <w:tab w:val="left" w:pos="1800"/>
        </w:tabs>
        <w:spacing w:after="0" w:line="240" w:lineRule="auto"/>
        <w:jc w:val="both"/>
        <w:rPr>
          <w:rFonts w:cs="Arial"/>
          <w:b/>
          <w:strike/>
          <w:color w:val="000000" w:themeColor="text1"/>
          <w:szCs w:val="19"/>
        </w:rPr>
      </w:pPr>
      <w:r w:rsidRPr="005C10CA">
        <w:rPr>
          <w:rFonts w:cs="Arial"/>
          <w:color w:val="000000" w:themeColor="text1"/>
          <w:szCs w:val="19"/>
        </w:rPr>
        <w:t>rejet dans les conditions définies par l’article 2</w:t>
      </w:r>
      <w:r w:rsidR="00D12313" w:rsidRPr="005C10CA">
        <w:rPr>
          <w:rFonts w:cs="Arial"/>
          <w:color w:val="000000" w:themeColor="text1"/>
          <w:szCs w:val="19"/>
        </w:rPr>
        <w:t>9</w:t>
      </w:r>
      <w:r w:rsidRPr="005C10CA">
        <w:rPr>
          <w:rFonts w:cs="Arial"/>
          <w:color w:val="000000" w:themeColor="text1"/>
          <w:szCs w:val="19"/>
        </w:rPr>
        <w:t>.4 du CCAG-</w:t>
      </w:r>
      <w:r w:rsidR="000134EF" w:rsidRPr="005C10CA">
        <w:rPr>
          <w:rFonts w:cs="Arial"/>
          <w:color w:val="000000" w:themeColor="text1"/>
          <w:szCs w:val="19"/>
        </w:rPr>
        <w:t>PI</w:t>
      </w:r>
      <w:r w:rsidRPr="005C10CA">
        <w:rPr>
          <w:rFonts w:cs="Arial"/>
          <w:color w:val="000000" w:themeColor="text1"/>
          <w:szCs w:val="19"/>
        </w:rPr>
        <w:t>.</w:t>
      </w:r>
    </w:p>
    <w:p w14:paraId="3160B065" w14:textId="77777777" w:rsidR="0005473F" w:rsidRPr="005C10CA" w:rsidRDefault="0005473F" w:rsidP="0005473F">
      <w:pPr>
        <w:shd w:val="clear" w:color="auto" w:fill="FFFFFF"/>
        <w:tabs>
          <w:tab w:val="left" w:pos="720"/>
          <w:tab w:val="left" w:pos="1080"/>
          <w:tab w:val="left" w:pos="1440"/>
          <w:tab w:val="left" w:pos="1800"/>
        </w:tabs>
        <w:spacing w:after="0" w:line="240" w:lineRule="auto"/>
        <w:jc w:val="both"/>
        <w:rPr>
          <w:rFonts w:cs="Arial"/>
          <w:b/>
          <w:strike/>
          <w:color w:val="000000" w:themeColor="text1"/>
          <w:szCs w:val="19"/>
        </w:rPr>
      </w:pPr>
    </w:p>
    <w:p w14:paraId="10BC4408" w14:textId="1B3C98CF" w:rsidR="0005473F" w:rsidRPr="005C10CA" w:rsidRDefault="0005473F" w:rsidP="0005473F">
      <w:pPr>
        <w:pStyle w:val="Titre5"/>
        <w:jc w:val="both"/>
      </w:pPr>
      <w:r w:rsidRPr="005C10CA">
        <w:t xml:space="preserve">Article </w:t>
      </w:r>
      <w:r w:rsidR="00A36CD5">
        <w:t>7</w:t>
      </w:r>
      <w:r w:rsidRPr="005C10CA">
        <w:t>.</w:t>
      </w:r>
      <w:r w:rsidR="00C20B11">
        <w:t>3</w:t>
      </w:r>
      <w:r w:rsidRPr="005C10CA">
        <w:t>.3 – Garantie</w:t>
      </w:r>
    </w:p>
    <w:p w14:paraId="208A6299" w14:textId="1554B9B8" w:rsidR="009A1E6E" w:rsidRPr="005C10CA" w:rsidRDefault="0005473F" w:rsidP="00CC3968">
      <w:r w:rsidRPr="005C10CA">
        <w:t xml:space="preserve">Par dérogation à l’article 30 du CCAG-PI, les prestations ne font pas l’objet d’une garantie technique. </w:t>
      </w:r>
    </w:p>
    <w:p w14:paraId="020F342C" w14:textId="7E4C2CB5" w:rsidR="00D30FAD" w:rsidRPr="005C10CA" w:rsidRDefault="00D30FAD" w:rsidP="00D30FAD">
      <w:pPr>
        <w:pStyle w:val="Titre4"/>
        <w:jc w:val="both"/>
      </w:pPr>
      <w:r w:rsidRPr="005C10CA">
        <w:t xml:space="preserve">Article </w:t>
      </w:r>
      <w:r w:rsidR="00A36CD5">
        <w:t>7</w:t>
      </w:r>
      <w:r w:rsidRPr="005C10CA">
        <w:t>.</w:t>
      </w:r>
      <w:r w:rsidR="00C20B11">
        <w:t>4</w:t>
      </w:r>
      <w:r w:rsidRPr="005C10CA">
        <w:t xml:space="preserve"> – Modifications du marché</w:t>
      </w:r>
    </w:p>
    <w:p w14:paraId="1CE9DE74" w14:textId="5353E3BF" w:rsidR="00D30FAD" w:rsidRPr="005C10CA" w:rsidRDefault="00D30FAD" w:rsidP="00D30FAD">
      <w:pPr>
        <w:pStyle w:val="Titre5"/>
        <w:jc w:val="both"/>
      </w:pPr>
      <w:r w:rsidRPr="005C10CA">
        <w:t xml:space="preserve">Article </w:t>
      </w:r>
      <w:r w:rsidR="00A36CD5">
        <w:t>7</w:t>
      </w:r>
      <w:r w:rsidRPr="005C10CA">
        <w:t>.</w:t>
      </w:r>
      <w:r w:rsidR="00C20B11">
        <w:t>4</w:t>
      </w:r>
      <w:r w:rsidRPr="005C10CA">
        <w:t>.1 – Prestations supplémentaires et modificatives</w:t>
      </w:r>
    </w:p>
    <w:p w14:paraId="5307D923" w14:textId="4EE318D9" w:rsidR="00D30FAD" w:rsidRPr="005C10CA" w:rsidRDefault="00D30FAD" w:rsidP="00D30FAD">
      <w:r w:rsidRPr="005C10CA">
        <w:t xml:space="preserve">Il est fait application de l’article 23 du CCAG-PI. </w:t>
      </w:r>
    </w:p>
    <w:p w14:paraId="1E94C5A7" w14:textId="24B279E5" w:rsidR="00D30FAD" w:rsidRPr="005C10CA" w:rsidRDefault="00D30FAD" w:rsidP="00D30FAD">
      <w:pPr>
        <w:pStyle w:val="Titre5"/>
        <w:jc w:val="both"/>
      </w:pPr>
      <w:r w:rsidRPr="005C10CA">
        <w:t xml:space="preserve">Article </w:t>
      </w:r>
      <w:r w:rsidR="00A36CD5">
        <w:t>7</w:t>
      </w:r>
      <w:r w:rsidRPr="005C10CA">
        <w:t>.</w:t>
      </w:r>
      <w:r w:rsidR="00C20B11">
        <w:t>4</w:t>
      </w:r>
      <w:r w:rsidRPr="005C10CA">
        <w:t>.2 – Modifications affectant les cotraitants</w:t>
      </w:r>
    </w:p>
    <w:p w14:paraId="0AD681B9" w14:textId="77777777" w:rsidR="00D30FAD" w:rsidRPr="005C10CA" w:rsidRDefault="00D30FAD" w:rsidP="00D30FAD">
      <w:pPr>
        <w:tabs>
          <w:tab w:val="left" w:pos="720"/>
          <w:tab w:val="left" w:pos="3342"/>
        </w:tabs>
        <w:jc w:val="both"/>
        <w:rPr>
          <w:color w:val="000000" w:themeColor="text1"/>
          <w:szCs w:val="19"/>
        </w:rPr>
      </w:pPr>
      <w:r w:rsidRPr="005C10CA">
        <w:rPr>
          <w:color w:val="000000" w:themeColor="text1"/>
          <w:szCs w:val="19"/>
        </w:rPr>
        <w:t xml:space="preserve">En application de l’article R. 2194-6 du code de la commande publique, le marché pourra être modifié dans les circonstances suivantes.  </w:t>
      </w:r>
    </w:p>
    <w:p w14:paraId="623B5512" w14:textId="13CEEC5D" w:rsidR="00D30FAD" w:rsidRPr="005C10CA" w:rsidRDefault="00D30FAD" w:rsidP="00D30FAD">
      <w:pPr>
        <w:pStyle w:val="Titre4"/>
        <w:ind w:left="0"/>
        <w:rPr>
          <w:b w:val="0"/>
          <w:bCs w:val="0"/>
          <w:u w:val="single"/>
        </w:rPr>
      </w:pPr>
      <w:bookmarkStart w:id="28" w:name="_Toc528596444"/>
      <w:bookmarkStart w:id="29" w:name="_Toc19261875"/>
      <w:bookmarkStart w:id="30" w:name="_Toc73013689"/>
      <w:r w:rsidRPr="005C10CA">
        <w:rPr>
          <w:b w:val="0"/>
          <w:bCs w:val="0"/>
          <w:u w:val="single"/>
        </w:rPr>
        <w:t>Remplacement du titulaire initial par un nouveau titulaire</w:t>
      </w:r>
      <w:bookmarkEnd w:id="28"/>
      <w:bookmarkEnd w:id="29"/>
      <w:bookmarkEnd w:id="30"/>
    </w:p>
    <w:p w14:paraId="193B7C97" w14:textId="7A9F3B5B" w:rsidR="00D30FAD" w:rsidRPr="005C10CA" w:rsidRDefault="00D30FAD" w:rsidP="00D30FAD">
      <w:pPr>
        <w:tabs>
          <w:tab w:val="left" w:pos="720"/>
          <w:tab w:val="left" w:pos="3342"/>
        </w:tabs>
        <w:jc w:val="both"/>
        <w:rPr>
          <w:color w:val="000000" w:themeColor="text1"/>
          <w:szCs w:val="19"/>
        </w:rPr>
      </w:pPr>
      <w:r w:rsidRPr="005C10CA">
        <w:rPr>
          <w:color w:val="000000" w:themeColor="text1"/>
          <w:szCs w:val="19"/>
        </w:rPr>
        <w:t xml:space="preserve">Le titulaire peut proposer </w:t>
      </w:r>
      <w:r w:rsidR="000134EF" w:rsidRPr="005C10CA">
        <w:rPr>
          <w:color w:val="000000" w:themeColor="text1"/>
          <w:szCs w:val="19"/>
        </w:rPr>
        <w:t>à l’acheteur</w:t>
      </w:r>
      <w:r w:rsidRPr="005C10CA">
        <w:rPr>
          <w:color w:val="000000" w:themeColor="text1"/>
          <w:szCs w:val="19"/>
        </w:rPr>
        <w:t xml:space="preserve"> la substitution d’un nouveau titulaire afin de le remplacer dans le cadre d’une opération de restructuration (transmission, fusion, acquisition, absorption) à condition que cette modification ne remette en cause aucun élément essentiel du marché et que l’opérateur économique présenté dispose des mêmes garanties professionnelles et financières que le titulaire.</w:t>
      </w:r>
    </w:p>
    <w:p w14:paraId="1A2779A9" w14:textId="5741C307" w:rsidR="00D30FAD" w:rsidRPr="005C10CA" w:rsidRDefault="00D30FAD" w:rsidP="00D30FAD">
      <w:pPr>
        <w:pStyle w:val="Titre4"/>
        <w:ind w:left="0"/>
        <w:rPr>
          <w:b w:val="0"/>
          <w:bCs w:val="0"/>
          <w:u w:val="single"/>
        </w:rPr>
      </w:pPr>
      <w:bookmarkStart w:id="31" w:name="_Toc19261876"/>
      <w:bookmarkStart w:id="32" w:name="_Toc73013690"/>
      <w:r w:rsidRPr="005C10CA">
        <w:rPr>
          <w:b w:val="0"/>
          <w:bCs w:val="0"/>
          <w:u w:val="single"/>
        </w:rPr>
        <w:t>Modification du groupement en cas de défaillance du mandataire</w:t>
      </w:r>
      <w:bookmarkEnd w:id="31"/>
      <w:bookmarkEnd w:id="32"/>
    </w:p>
    <w:p w14:paraId="1240BFA9" w14:textId="6E332F92" w:rsidR="00D30FAD" w:rsidRPr="005C10CA" w:rsidRDefault="00D30FAD" w:rsidP="00D30FAD">
      <w:pPr>
        <w:tabs>
          <w:tab w:val="left" w:pos="720"/>
          <w:tab w:val="left" w:pos="1080"/>
          <w:tab w:val="left" w:pos="1260"/>
          <w:tab w:val="left" w:pos="1440"/>
          <w:tab w:val="left" w:pos="1800"/>
        </w:tabs>
        <w:jc w:val="both"/>
        <w:rPr>
          <w:color w:val="000000" w:themeColor="text1"/>
          <w:szCs w:val="19"/>
        </w:rPr>
      </w:pPr>
      <w:r w:rsidRPr="005C10CA">
        <w:rPr>
          <w:color w:val="000000" w:themeColor="text1"/>
          <w:szCs w:val="19"/>
        </w:rPr>
        <w:t>Dans le cas où le mandataire du groupement ne se conforme pas à ses obligations, il est fait application de l’article 3.5.4 du CCAG-PI. Le cas échéant, la substitution fait l'objet d'un avenant précisant notamment la nouvelle organisation du groupement ainsi que la nouvelle répartition des prestations et la rémunération afférente.</w:t>
      </w:r>
    </w:p>
    <w:p w14:paraId="63648D5B" w14:textId="58DE7AC2" w:rsidR="0057380B" w:rsidRPr="005C10CA" w:rsidRDefault="0057380B" w:rsidP="0057380B">
      <w:pPr>
        <w:pStyle w:val="Titre4"/>
        <w:jc w:val="both"/>
      </w:pPr>
      <w:r w:rsidRPr="005C10CA">
        <w:t xml:space="preserve">Article </w:t>
      </w:r>
      <w:r w:rsidR="00A36CD5">
        <w:t>7</w:t>
      </w:r>
      <w:r w:rsidRPr="005C10CA">
        <w:t>.</w:t>
      </w:r>
      <w:r w:rsidR="00C20B11">
        <w:t>5</w:t>
      </w:r>
      <w:r w:rsidRPr="005C10CA">
        <w:t xml:space="preserve"> – Arrêt de l’exécution des prestations</w:t>
      </w:r>
    </w:p>
    <w:p w14:paraId="2D14FAB4" w14:textId="77777777" w:rsidR="0057380B" w:rsidRPr="005C10CA" w:rsidRDefault="0057380B" w:rsidP="0057380B">
      <w:pPr>
        <w:pStyle w:val="NormalWeb"/>
        <w:shd w:val="clear" w:color="auto" w:fill="FFFFFF"/>
        <w:spacing w:before="0" w:beforeAutospacing="0" w:after="240" w:afterAutospacing="0"/>
        <w:rPr>
          <w:rFonts w:ascii="Verdana" w:hAnsi="Verdana" w:cs="Arial"/>
          <w:color w:val="000000"/>
          <w:sz w:val="19"/>
          <w:szCs w:val="19"/>
        </w:rPr>
      </w:pPr>
      <w:r w:rsidRPr="005C10CA">
        <w:rPr>
          <w:rFonts w:ascii="Verdana" w:hAnsi="Verdana" w:cs="Arial"/>
          <w:color w:val="000000"/>
          <w:sz w:val="19"/>
          <w:szCs w:val="19"/>
        </w:rPr>
        <w:t xml:space="preserve">L’acheteur peut décider, au terme de chacune des phases, soit de sa propre initiative, soit à la demande du titulaire, de ne pas poursuivre l'exécution des prestations. </w:t>
      </w:r>
      <w:r w:rsidRPr="005C10CA">
        <w:rPr>
          <w:rFonts w:ascii="Verdana" w:hAnsi="Verdana" w:cs="Arial"/>
          <w:color w:val="000000"/>
          <w:sz w:val="19"/>
          <w:szCs w:val="19"/>
        </w:rPr>
        <w:br/>
        <w:t>La décision d'arrêter l'exécution des prestations ne peut intervenir qu’à l’issue d’une phase pour lesquelles les prestations ont été admises.</w:t>
      </w:r>
    </w:p>
    <w:p w14:paraId="50835EF7" w14:textId="77777777" w:rsidR="0057380B" w:rsidRPr="005C10CA" w:rsidRDefault="0057380B" w:rsidP="0057380B">
      <w:pPr>
        <w:pStyle w:val="NormalWeb"/>
        <w:shd w:val="clear" w:color="auto" w:fill="FFFFFF"/>
        <w:spacing w:before="0" w:beforeAutospacing="0" w:after="240" w:afterAutospacing="0"/>
        <w:rPr>
          <w:rFonts w:ascii="Verdana" w:hAnsi="Verdana" w:cs="Arial"/>
          <w:color w:val="000000"/>
          <w:sz w:val="19"/>
          <w:szCs w:val="19"/>
        </w:rPr>
      </w:pPr>
      <w:r w:rsidRPr="005C10CA">
        <w:rPr>
          <w:rFonts w:ascii="Verdana" w:hAnsi="Verdana" w:cs="Arial"/>
          <w:color w:val="000000"/>
          <w:sz w:val="19"/>
          <w:szCs w:val="19"/>
        </w:rPr>
        <w:t xml:space="preserve">Par dérogation à l’article 22 du CCAG-PI, la décision d’arrêter l’exécution des prestations fait l’objet d’une indemnité, obtenue en appliquant un taux de 5% </w:t>
      </w:r>
      <w:r w:rsidRPr="005C10CA">
        <w:rPr>
          <w:rFonts w:ascii="Verdana" w:hAnsi="Verdana" w:cs="Arial"/>
          <w:color w:val="000000"/>
          <w:sz w:val="19"/>
          <w:szCs w:val="19"/>
          <w:shd w:val="clear" w:color="auto" w:fill="FFFFFF"/>
        </w:rPr>
        <w:t>au montant initial hors TVA du marché, diminué du montant hors TVA non révisé de la phase ou des phases admises.</w:t>
      </w:r>
      <w:r w:rsidRPr="005C10CA">
        <w:rPr>
          <w:rFonts w:ascii="Verdana" w:hAnsi="Verdana" w:cs="Arial"/>
          <w:color w:val="000000"/>
          <w:sz w:val="19"/>
          <w:szCs w:val="19"/>
        </w:rPr>
        <w:t xml:space="preserve"> </w:t>
      </w:r>
    </w:p>
    <w:p w14:paraId="3270CA65" w14:textId="3BC3653E" w:rsidR="00CC3968" w:rsidRPr="005C10CA" w:rsidRDefault="0057380B" w:rsidP="0057380B">
      <w:pPr>
        <w:pStyle w:val="NormalWeb"/>
        <w:shd w:val="clear" w:color="auto" w:fill="FFFFFF"/>
        <w:spacing w:before="0" w:beforeAutospacing="0" w:after="240" w:afterAutospacing="0"/>
        <w:rPr>
          <w:rFonts w:ascii="Verdana" w:hAnsi="Verdana" w:cs="Arial"/>
          <w:color w:val="000000"/>
          <w:sz w:val="19"/>
          <w:szCs w:val="19"/>
        </w:rPr>
      </w:pPr>
      <w:r w:rsidRPr="005C10CA">
        <w:rPr>
          <w:rFonts w:ascii="Verdana" w:hAnsi="Verdana" w:cs="Arial"/>
          <w:color w:val="000000"/>
          <w:sz w:val="19"/>
          <w:szCs w:val="19"/>
        </w:rPr>
        <w:t>L'arrêt de l'exécution des prestations entraîne la résiliation du marché.</w:t>
      </w:r>
    </w:p>
    <w:p w14:paraId="78F44A71" w14:textId="343DE6EF" w:rsidR="00E30B35" w:rsidRPr="005C10CA" w:rsidRDefault="00E30B35" w:rsidP="00E30B35">
      <w:pPr>
        <w:pStyle w:val="Titre4"/>
        <w:jc w:val="both"/>
      </w:pPr>
      <w:r w:rsidRPr="005C10CA">
        <w:t xml:space="preserve">Article </w:t>
      </w:r>
      <w:r w:rsidR="00A36CD5">
        <w:t>7</w:t>
      </w:r>
      <w:r w:rsidRPr="005C10CA">
        <w:t>.</w:t>
      </w:r>
      <w:r w:rsidR="00C20B11">
        <w:t>6</w:t>
      </w:r>
      <w:r w:rsidRPr="005C10CA">
        <w:t xml:space="preserve"> – Réalisation d’une action en matière d’insertion sociale</w:t>
      </w:r>
      <w:r w:rsidRPr="005C10CA">
        <w:tab/>
      </w:r>
    </w:p>
    <w:p w14:paraId="4ED8D4B2" w14:textId="77777777" w:rsidR="00E30B35" w:rsidRPr="005C10CA" w:rsidRDefault="00E30B35" w:rsidP="00E30B35">
      <w:pPr>
        <w:jc w:val="both"/>
        <w:rPr>
          <w:color w:val="000000" w:themeColor="text1"/>
        </w:rPr>
      </w:pPr>
      <w:r w:rsidRPr="005C10CA">
        <w:rPr>
          <w:rFonts w:cs="Arial"/>
          <w:color w:val="000000" w:themeColor="text1"/>
          <w:szCs w:val="19"/>
          <w:shd w:val="clear" w:color="auto" w:fill="4BACC6" w:themeFill="accent5"/>
        </w:rPr>
        <w:sym w:font="Wingdings" w:char="F071"/>
      </w:r>
      <w:r w:rsidRPr="005C10CA">
        <w:rPr>
          <w:color w:val="000000" w:themeColor="text1"/>
        </w:rPr>
        <w:t xml:space="preserve"> Sans objet pour cette opération</w:t>
      </w:r>
    </w:p>
    <w:p w14:paraId="6F648867" w14:textId="61266D5F" w:rsidR="00E30B35" w:rsidRPr="005C10CA" w:rsidRDefault="00E30B35" w:rsidP="00E30B35">
      <w:pPr>
        <w:jc w:val="both"/>
        <w:rPr>
          <w:color w:val="000000" w:themeColor="text1"/>
        </w:rPr>
      </w:pPr>
      <w:r w:rsidRPr="005C10CA">
        <w:rPr>
          <w:rFonts w:cs="Arial"/>
          <w:color w:val="000000" w:themeColor="text1"/>
          <w:szCs w:val="19"/>
          <w:shd w:val="clear" w:color="auto" w:fill="4BACC6" w:themeFill="accent5"/>
        </w:rPr>
        <w:sym w:font="Wingdings" w:char="F071"/>
      </w:r>
      <w:r w:rsidRPr="005C10CA">
        <w:rPr>
          <w:color w:val="000000" w:themeColor="text1"/>
        </w:rPr>
        <w:t xml:space="preserve"> Dans le cadre de l’exécution du marché, </w:t>
      </w:r>
      <w:r w:rsidR="000134EF" w:rsidRPr="005C10CA">
        <w:rPr>
          <w:color w:val="000000" w:themeColor="text1"/>
        </w:rPr>
        <w:t>l’acheteur</w:t>
      </w:r>
      <w:r w:rsidRPr="005C10CA">
        <w:rPr>
          <w:color w:val="000000" w:themeColor="text1"/>
        </w:rPr>
        <w:t xml:space="preserve"> prévoit une action d’insertion sociale dans le respect des stipulations de l’article 1</w:t>
      </w:r>
      <w:r w:rsidR="000134EF" w:rsidRPr="005C10CA">
        <w:rPr>
          <w:color w:val="000000" w:themeColor="text1"/>
        </w:rPr>
        <w:t>6</w:t>
      </w:r>
      <w:r w:rsidRPr="005C10CA">
        <w:rPr>
          <w:color w:val="000000" w:themeColor="text1"/>
        </w:rPr>
        <w:t>.1 du CCAG-</w:t>
      </w:r>
      <w:r w:rsidR="000134EF" w:rsidRPr="005C10CA">
        <w:rPr>
          <w:color w:val="000000" w:themeColor="text1"/>
        </w:rPr>
        <w:t>PI</w:t>
      </w:r>
      <w:r w:rsidRPr="005C10CA">
        <w:rPr>
          <w:color w:val="000000" w:themeColor="text1"/>
        </w:rPr>
        <w:t xml:space="preserve"> et selon les modalités suivantes :</w:t>
      </w:r>
    </w:p>
    <w:p w14:paraId="7ED1CC27" w14:textId="77777777" w:rsidR="00E30B35" w:rsidRPr="005C10CA" w:rsidRDefault="00E30B35" w:rsidP="00E30B35">
      <w:pPr>
        <w:jc w:val="both"/>
        <w:rPr>
          <w:color w:val="000000" w:themeColor="text1"/>
        </w:rPr>
      </w:pPr>
      <w:r w:rsidRPr="005C10CA">
        <w:rPr>
          <w:color w:val="000000" w:themeColor="text1"/>
        </w:rPr>
        <w:t>[</w:t>
      </w:r>
      <w:r w:rsidRPr="005C10CA">
        <w:rPr>
          <w:color w:val="000000" w:themeColor="text1"/>
          <w:shd w:val="clear" w:color="auto" w:fill="95B3D7" w:themeFill="accent1" w:themeFillTint="99"/>
        </w:rPr>
        <w:t>Intégrer les clauses vues avec le facilitateur des clauses sociales, définissant le périmètre de l’action, ses modalités de mise en œuvre et de contrôle</w:t>
      </w:r>
      <w:r w:rsidRPr="005C10CA">
        <w:rPr>
          <w:color w:val="000000" w:themeColor="text1"/>
        </w:rPr>
        <w:t>]</w:t>
      </w:r>
    </w:p>
    <w:p w14:paraId="30E0651D" w14:textId="07E3B286" w:rsidR="00F40D59" w:rsidRPr="005C10CA" w:rsidRDefault="00F40D59" w:rsidP="00F40D59">
      <w:pPr>
        <w:pStyle w:val="Titre2"/>
      </w:pPr>
      <w:r w:rsidRPr="005C10CA">
        <w:t xml:space="preserve">Article </w:t>
      </w:r>
      <w:r w:rsidR="007B6ABE">
        <w:t>8</w:t>
      </w:r>
      <w:r w:rsidRPr="005C10CA">
        <w:t xml:space="preserve"> – PRIX </w:t>
      </w:r>
    </w:p>
    <w:p w14:paraId="72AAC0CE" w14:textId="6D1BA2DE" w:rsidR="00F40D59" w:rsidRPr="005C10CA" w:rsidRDefault="00F40D59" w:rsidP="00F40D59">
      <w:pPr>
        <w:pStyle w:val="Titre4"/>
      </w:pPr>
      <w:r w:rsidRPr="005C10CA">
        <w:t xml:space="preserve">Article </w:t>
      </w:r>
      <w:r w:rsidR="007B6ABE">
        <w:t>8</w:t>
      </w:r>
      <w:r w:rsidRPr="005C10CA">
        <w:t>.1 – Caractéristiques et contenu des prix</w:t>
      </w:r>
    </w:p>
    <w:p w14:paraId="7F4F5ED8" w14:textId="24520438" w:rsidR="00F40D59" w:rsidRPr="005C10CA" w:rsidRDefault="00F40D59" w:rsidP="00F40D59">
      <w:r w:rsidRPr="005C10CA">
        <w:t xml:space="preserve">Les prestations faisant l’objet </w:t>
      </w:r>
      <w:r w:rsidR="007F0A74" w:rsidRPr="005C10CA">
        <w:t>du marché</w:t>
      </w:r>
      <w:r w:rsidRPr="005C10CA">
        <w:t xml:space="preserve"> seront réglées par application </w:t>
      </w:r>
      <w:r w:rsidR="009A1E6E" w:rsidRPr="005C10CA">
        <w:t>du prix forfaitaire</w:t>
      </w:r>
      <w:r w:rsidRPr="005C10CA">
        <w:t xml:space="preserve"> </w:t>
      </w:r>
      <w:r w:rsidR="00BC21B9" w:rsidRPr="005C10CA">
        <w:t xml:space="preserve">établi dans </w:t>
      </w:r>
      <w:r w:rsidR="009A1E6E" w:rsidRPr="005C10CA">
        <w:t>l’acte d’engagement</w:t>
      </w:r>
      <w:r w:rsidRPr="005C10CA">
        <w:t xml:space="preserve">. </w:t>
      </w:r>
    </w:p>
    <w:p w14:paraId="11ACD452" w14:textId="4E73046C" w:rsidR="00F40D59" w:rsidRPr="005C10CA" w:rsidRDefault="00F40D59" w:rsidP="00F40D59">
      <w:r w:rsidRPr="005C10CA">
        <w:t>Le prix comporte tous les frais nécessaires à l’accomplissement de la prestation y compris les frais de mission</w:t>
      </w:r>
      <w:r w:rsidR="004E4D5A" w:rsidRPr="005C10CA">
        <w:t xml:space="preserve">. Dans le cas où des prestations nécessiteraient des déplacements en dehors du département </w:t>
      </w:r>
      <w:r w:rsidR="004E4D5A" w:rsidRPr="005C10CA">
        <w:lastRenderedPageBreak/>
        <w:t xml:space="preserve">d’attache de </w:t>
      </w:r>
      <w:r w:rsidR="003D2E6C" w:rsidRPr="005C10CA">
        <w:t>l’acheteur</w:t>
      </w:r>
      <w:r w:rsidR="004E4D5A" w:rsidRPr="005C10CA">
        <w:t xml:space="preserve">, le titulaire pourra facturer des frais supplémentaires, sur </w:t>
      </w:r>
      <w:r w:rsidR="002403ED" w:rsidRPr="005C10CA">
        <w:t>justificatifs</w:t>
      </w:r>
      <w:r w:rsidR="004E4D5A" w:rsidRPr="005C10CA">
        <w:t xml:space="preserve">, de </w:t>
      </w:r>
      <w:r w:rsidRPr="005C10CA">
        <w:t>déplacement et d’hébergement</w:t>
      </w:r>
      <w:r w:rsidR="004E4D5A" w:rsidRPr="005C10CA">
        <w:t>.</w:t>
      </w:r>
    </w:p>
    <w:p w14:paraId="31DEC334" w14:textId="43B1B8F2" w:rsidR="004E4D5A" w:rsidRPr="005C10CA" w:rsidRDefault="004E4D5A" w:rsidP="004E4D5A">
      <w:pPr>
        <w:pStyle w:val="Titre4"/>
      </w:pPr>
      <w:r w:rsidRPr="005C10CA">
        <w:t xml:space="preserve">Article </w:t>
      </w:r>
      <w:r w:rsidR="007B6ABE">
        <w:t>8</w:t>
      </w:r>
      <w:r w:rsidRPr="005C10CA">
        <w:t>.2 – Variation des prix</w:t>
      </w:r>
    </w:p>
    <w:p w14:paraId="7AAFFE59" w14:textId="76CBECF2" w:rsidR="004E4D5A" w:rsidRPr="005C10CA" w:rsidRDefault="004E4D5A" w:rsidP="00F40D59">
      <w:r w:rsidRPr="005C10CA">
        <w:t xml:space="preserve">Par dérogation à l’article 10.1.1 du CCAG-PI, les prix </w:t>
      </w:r>
      <w:r w:rsidR="00AE52C9" w:rsidRPr="005C10CA">
        <w:t xml:space="preserve">sont révisables. </w:t>
      </w:r>
    </w:p>
    <w:p w14:paraId="69034CF9" w14:textId="7936F26B" w:rsidR="004E4D5A" w:rsidRPr="005C10CA" w:rsidRDefault="004E4D5A" w:rsidP="004E4D5A">
      <w:pPr>
        <w:tabs>
          <w:tab w:val="left" w:pos="720"/>
          <w:tab w:val="left" w:pos="1080"/>
        </w:tabs>
        <w:jc w:val="both"/>
        <w:rPr>
          <w:rFonts w:cs="Arial"/>
          <w:szCs w:val="19"/>
        </w:rPr>
      </w:pPr>
      <w:r w:rsidRPr="005C10CA">
        <w:rPr>
          <w:rFonts w:cs="Arial"/>
          <w:szCs w:val="19"/>
        </w:rPr>
        <w:t xml:space="preserve">La révision est effectuée </w:t>
      </w:r>
      <w:r w:rsidR="00CB5A81" w:rsidRPr="005C10CA">
        <w:rPr>
          <w:rFonts w:cs="Arial"/>
          <w:szCs w:val="19"/>
        </w:rPr>
        <w:t xml:space="preserve">en une seule fois lors du solde du marché </w:t>
      </w:r>
      <w:r w:rsidRPr="005C10CA">
        <w:rPr>
          <w:rFonts w:cs="Arial"/>
          <w:szCs w:val="19"/>
        </w:rPr>
        <w:t xml:space="preserve">par application </w:t>
      </w:r>
      <w:r w:rsidR="00CB5A81" w:rsidRPr="005C10CA">
        <w:rPr>
          <w:rFonts w:cs="Arial"/>
          <w:szCs w:val="19"/>
        </w:rPr>
        <w:t>sur</w:t>
      </w:r>
      <w:r w:rsidRPr="005C10CA">
        <w:rPr>
          <w:rFonts w:cs="Arial"/>
          <w:szCs w:val="19"/>
        </w:rPr>
        <w:t xml:space="preserve"> chaque </w:t>
      </w:r>
      <w:r w:rsidR="00CB5A81" w:rsidRPr="005C10CA">
        <w:rPr>
          <w:rFonts w:cs="Arial"/>
          <w:szCs w:val="19"/>
        </w:rPr>
        <w:t>acompte</w:t>
      </w:r>
      <w:r w:rsidRPr="005C10CA">
        <w:rPr>
          <w:rFonts w:cs="Arial"/>
          <w:szCs w:val="19"/>
        </w:rPr>
        <w:t xml:space="preserve"> d'un coefficient C de révision, donnée par la formule </w:t>
      </w:r>
      <w:r w:rsidR="0082178E" w:rsidRPr="005C10CA">
        <w:rPr>
          <w:rFonts w:cs="Arial"/>
          <w:szCs w:val="19"/>
        </w:rPr>
        <w:t xml:space="preserve">suivante </w:t>
      </w:r>
      <w:r w:rsidRPr="005C10CA">
        <w:rPr>
          <w:rFonts w:cs="Arial"/>
          <w:szCs w:val="19"/>
        </w:rPr>
        <w:t xml:space="preserve">: </w:t>
      </w:r>
    </w:p>
    <w:p w14:paraId="0BF053EE" w14:textId="7D9548D1" w:rsidR="00AE52C9" w:rsidRPr="005C10CA" w:rsidRDefault="00AE52C9" w:rsidP="00AE52C9">
      <w:pPr>
        <w:tabs>
          <w:tab w:val="left" w:pos="720"/>
          <w:tab w:val="left" w:pos="1080"/>
        </w:tabs>
        <w:jc w:val="both"/>
        <w:rPr>
          <w:rFonts w:cs="Arial"/>
          <w:color w:val="000000" w:themeColor="text1"/>
          <w:szCs w:val="19"/>
        </w:rPr>
      </w:pPr>
      <w:r w:rsidRPr="005C10CA">
        <w:rPr>
          <w:rFonts w:cs="Arial"/>
          <w:b/>
          <w:bCs/>
          <w:color w:val="000000" w:themeColor="text1"/>
          <w:szCs w:val="19"/>
        </w:rPr>
        <w:tab/>
      </w:r>
      <w:r w:rsidRPr="005C10CA">
        <w:rPr>
          <w:rFonts w:cs="Arial"/>
          <w:color w:val="000000" w:themeColor="text1"/>
          <w:szCs w:val="19"/>
        </w:rPr>
        <w:t xml:space="preserve">C =  Im/Io  </w:t>
      </w:r>
    </w:p>
    <w:p w14:paraId="1DD085B0" w14:textId="784F9782" w:rsidR="00AE52C9" w:rsidRPr="005C10CA" w:rsidRDefault="00AE52C9" w:rsidP="00AE52C9">
      <w:pPr>
        <w:tabs>
          <w:tab w:val="left" w:pos="720"/>
          <w:tab w:val="left" w:pos="1080"/>
        </w:tabs>
        <w:jc w:val="both"/>
        <w:rPr>
          <w:rFonts w:cs="Arial"/>
          <w:b/>
          <w:bCs/>
          <w:color w:val="B4409A"/>
          <w:szCs w:val="19"/>
        </w:rPr>
      </w:pPr>
      <w:r w:rsidRPr="005C10CA">
        <w:rPr>
          <w:rFonts w:cs="Arial"/>
          <w:szCs w:val="19"/>
        </w:rPr>
        <w:t xml:space="preserve">dans laquelle Io et Im sont les valeurs prises par l'index ING respectivement au mois m0 du marché et au mois m au cours </w:t>
      </w:r>
      <w:r w:rsidR="00A21391" w:rsidRPr="005C10CA">
        <w:rPr>
          <w:rFonts w:cs="Arial"/>
          <w:szCs w:val="19"/>
        </w:rPr>
        <w:t xml:space="preserve">duquel </w:t>
      </w:r>
      <w:r w:rsidR="00BC21B9" w:rsidRPr="005C10CA">
        <w:rPr>
          <w:rFonts w:cs="Arial"/>
          <w:szCs w:val="19"/>
        </w:rPr>
        <w:t>la demande de paiement</w:t>
      </w:r>
      <w:r w:rsidRPr="005C10CA">
        <w:rPr>
          <w:rFonts w:cs="Arial"/>
          <w:szCs w:val="19"/>
        </w:rPr>
        <w:t xml:space="preserve"> est remis</w:t>
      </w:r>
      <w:r w:rsidR="00A21391" w:rsidRPr="005C10CA">
        <w:rPr>
          <w:rFonts w:cs="Arial"/>
          <w:szCs w:val="19"/>
        </w:rPr>
        <w:t xml:space="preserve">e. </w:t>
      </w:r>
    </w:p>
    <w:p w14:paraId="63A57B90" w14:textId="77777777" w:rsidR="00AE52C9" w:rsidRPr="005C10CA" w:rsidRDefault="00AE52C9" w:rsidP="00AE52C9">
      <w:pPr>
        <w:tabs>
          <w:tab w:val="left" w:pos="720"/>
          <w:tab w:val="left" w:pos="1080"/>
        </w:tabs>
        <w:jc w:val="both"/>
        <w:rPr>
          <w:rFonts w:cs="Arial"/>
          <w:szCs w:val="19"/>
        </w:rPr>
      </w:pPr>
      <w:r w:rsidRPr="005C10CA">
        <w:rPr>
          <w:rFonts w:cs="Arial"/>
          <w:szCs w:val="19"/>
        </w:rPr>
        <w:t xml:space="preserve">Les coefficients de révision </w:t>
      </w:r>
      <w:r w:rsidRPr="005C10CA">
        <w:rPr>
          <w:rFonts w:cs="Arial"/>
          <w:color w:val="000000" w:themeColor="text1"/>
          <w:szCs w:val="19"/>
        </w:rPr>
        <w:t>sont</w:t>
      </w:r>
      <w:r w:rsidRPr="005C10CA">
        <w:rPr>
          <w:rFonts w:cs="Arial"/>
          <w:szCs w:val="19"/>
        </w:rPr>
        <w:t xml:space="preserve"> arrondis au millième supérieur. </w:t>
      </w:r>
      <w:r w:rsidRPr="005C10CA">
        <w:rPr>
          <w:rFonts w:cs="Arial"/>
          <w:szCs w:val="19"/>
        </w:rPr>
        <w:tab/>
      </w:r>
    </w:p>
    <w:p w14:paraId="5E824037" w14:textId="3C1D45D7" w:rsidR="00AE52C9" w:rsidRPr="005C10CA" w:rsidRDefault="00AE52C9" w:rsidP="00AE52C9">
      <w:pPr>
        <w:tabs>
          <w:tab w:val="left" w:pos="720"/>
          <w:tab w:val="left" w:pos="1080"/>
        </w:tabs>
        <w:jc w:val="both"/>
        <w:rPr>
          <w:rFonts w:cs="Arial"/>
          <w:szCs w:val="19"/>
        </w:rPr>
      </w:pPr>
      <w:r w:rsidRPr="005C10CA">
        <w:rPr>
          <w:rFonts w:cs="Arial"/>
          <w:szCs w:val="19"/>
        </w:rPr>
        <w:t>En application de l’article</w:t>
      </w:r>
      <w:r w:rsidRPr="005C10CA">
        <w:rPr>
          <w:rFonts w:cs="Arial"/>
          <w:color w:val="F79646" w:themeColor="accent6"/>
          <w:szCs w:val="19"/>
        </w:rPr>
        <w:t xml:space="preserve"> </w:t>
      </w:r>
      <w:r w:rsidRPr="005C10CA">
        <w:rPr>
          <w:rFonts w:cs="Arial"/>
          <w:color w:val="000000" w:themeColor="text1"/>
          <w:szCs w:val="19"/>
        </w:rPr>
        <w:t>R. 2191-28 du code de la commande publique</w:t>
      </w:r>
      <w:r w:rsidRPr="005C10CA">
        <w:rPr>
          <w:rFonts w:cs="Arial"/>
          <w:szCs w:val="19"/>
        </w:rPr>
        <w:t xml:space="preserve">, lorsque la valeur finale des index n'est pas connue au moment du paiement, l’acheteur procède au paiement provisoire sur la base de la valeur révisée en fonction de la dernière situation économique connue. </w:t>
      </w:r>
    </w:p>
    <w:p w14:paraId="45E67651" w14:textId="1A223E59" w:rsidR="00AE52C9" w:rsidRPr="005C10CA" w:rsidRDefault="000134EF" w:rsidP="00AE52C9">
      <w:pPr>
        <w:tabs>
          <w:tab w:val="left" w:pos="720"/>
          <w:tab w:val="left" w:pos="1080"/>
        </w:tabs>
        <w:jc w:val="both"/>
        <w:rPr>
          <w:rFonts w:cs="Arial"/>
          <w:szCs w:val="19"/>
        </w:rPr>
      </w:pPr>
      <w:r w:rsidRPr="005C10CA">
        <w:rPr>
          <w:rFonts w:cs="Arial"/>
          <w:szCs w:val="19"/>
        </w:rPr>
        <w:t>L’acheteur</w:t>
      </w:r>
      <w:r w:rsidR="00AE52C9" w:rsidRPr="005C10CA">
        <w:rPr>
          <w:rFonts w:cs="Arial"/>
          <w:szCs w:val="19"/>
        </w:rPr>
        <w:t xml:space="preserve"> procède à la révision définitive dès que </w:t>
      </w:r>
      <w:r w:rsidR="00F72473">
        <w:rPr>
          <w:rFonts w:cs="Arial"/>
          <w:szCs w:val="19"/>
        </w:rPr>
        <w:t xml:space="preserve">la valeur finale de l’index est </w:t>
      </w:r>
      <w:proofErr w:type="gramStart"/>
      <w:r w:rsidR="00F72473">
        <w:rPr>
          <w:rFonts w:cs="Arial"/>
          <w:szCs w:val="19"/>
        </w:rPr>
        <w:t>publié</w:t>
      </w:r>
      <w:proofErr w:type="gramEnd"/>
      <w:r w:rsidR="00AE52C9" w:rsidRPr="005C10CA">
        <w:rPr>
          <w:rFonts w:cs="Arial"/>
          <w:szCs w:val="19"/>
        </w:rPr>
        <w:t>.</w:t>
      </w:r>
    </w:p>
    <w:p w14:paraId="152637CC" w14:textId="6A885515" w:rsidR="00FF4087" w:rsidRPr="005C10CA" w:rsidRDefault="00FF4087" w:rsidP="00FF4087">
      <w:pPr>
        <w:pStyle w:val="Titre4"/>
      </w:pPr>
      <w:r w:rsidRPr="005C10CA">
        <w:t xml:space="preserve">Article </w:t>
      </w:r>
      <w:r w:rsidR="007B6ABE">
        <w:t>8</w:t>
      </w:r>
      <w:r w:rsidRPr="005C10CA">
        <w:t>.3 – Pénalités</w:t>
      </w:r>
    </w:p>
    <w:p w14:paraId="10E4DA07" w14:textId="25ACCEAA" w:rsidR="00697930" w:rsidRPr="005C10CA" w:rsidRDefault="00697930" w:rsidP="00697930">
      <w:pPr>
        <w:pStyle w:val="Titre5"/>
        <w:jc w:val="both"/>
      </w:pPr>
      <w:r w:rsidRPr="005C10CA">
        <w:t xml:space="preserve">Article </w:t>
      </w:r>
      <w:r w:rsidR="007B6ABE">
        <w:t>8</w:t>
      </w:r>
      <w:r w:rsidRPr="005C10CA">
        <w:t>.3.1 – Pénalités de retard</w:t>
      </w:r>
    </w:p>
    <w:p w14:paraId="7F4E5850" w14:textId="358DC9F9" w:rsidR="00FF4087" w:rsidRPr="005C10CA" w:rsidRDefault="00FF4087" w:rsidP="00FF4087">
      <w:pPr>
        <w:tabs>
          <w:tab w:val="left" w:pos="720"/>
          <w:tab w:val="left" w:pos="1080"/>
        </w:tabs>
        <w:jc w:val="both"/>
        <w:rPr>
          <w:rFonts w:cs="Arial"/>
          <w:szCs w:val="19"/>
        </w:rPr>
      </w:pPr>
      <w:r w:rsidRPr="005C10CA">
        <w:rPr>
          <w:rFonts w:cs="Arial"/>
          <w:szCs w:val="19"/>
        </w:rPr>
        <w:t xml:space="preserve">En cas de retard imputable au titulaire dans la réalisation des prestations, il encourt </w:t>
      </w:r>
      <w:r w:rsidR="00697930" w:rsidRPr="005C10CA">
        <w:rPr>
          <w:rFonts w:cs="Arial"/>
          <w:szCs w:val="19"/>
        </w:rPr>
        <w:t>des pénalités dont l’application et le calcul sont déterminés conformément à l’article 14.1 du CCAG-PI. </w:t>
      </w:r>
    </w:p>
    <w:p w14:paraId="1D98FB8E" w14:textId="0BEF4F95" w:rsidR="000915F1" w:rsidRPr="005C10CA" w:rsidRDefault="000915F1" w:rsidP="000915F1">
      <w:pPr>
        <w:pStyle w:val="Titre5"/>
        <w:jc w:val="both"/>
      </w:pPr>
      <w:r w:rsidRPr="005C10CA">
        <w:t xml:space="preserve">Article </w:t>
      </w:r>
      <w:r w:rsidR="007B6ABE">
        <w:t>8</w:t>
      </w:r>
      <w:r w:rsidRPr="005C10CA">
        <w:t>.3.2 – Pénalités pour manquements</w:t>
      </w:r>
    </w:p>
    <w:p w14:paraId="3584E1FA" w14:textId="1284B80A" w:rsidR="000915F1" w:rsidRPr="005C10CA" w:rsidRDefault="000915F1" w:rsidP="000915F1">
      <w:pPr>
        <w:jc w:val="both"/>
        <w:rPr>
          <w:rFonts w:cs="Arial"/>
          <w:color w:val="000000" w:themeColor="text1"/>
          <w:szCs w:val="19"/>
        </w:rPr>
      </w:pPr>
      <w:r w:rsidRPr="005C10CA">
        <w:rPr>
          <w:rFonts w:cs="Arial"/>
          <w:color w:val="000000" w:themeColor="text1"/>
          <w:szCs w:val="19"/>
        </w:rPr>
        <w:t xml:space="preserve">En cas d'absence aux réunions </w:t>
      </w:r>
      <w:r w:rsidR="00A54960">
        <w:rPr>
          <w:rFonts w:cs="Arial"/>
          <w:color w:val="000000" w:themeColor="text1"/>
          <w:szCs w:val="19"/>
        </w:rPr>
        <w:t>du comité technique ou du comité de pilotage</w:t>
      </w:r>
      <w:r w:rsidRPr="005C10CA">
        <w:rPr>
          <w:rFonts w:cs="Arial"/>
          <w:color w:val="000000" w:themeColor="text1"/>
          <w:szCs w:val="19"/>
        </w:rPr>
        <w:t xml:space="preserve"> du représentant du titulaire, il sera appliqué une pénalité de </w:t>
      </w:r>
      <w:r w:rsidRPr="005C10CA">
        <w:rPr>
          <w:rFonts w:cs="Arial"/>
          <w:color w:val="000000"/>
          <w:szCs w:val="19"/>
          <w:shd w:val="clear" w:color="auto" w:fill="95B3D7" w:themeFill="accent1" w:themeFillTint="99"/>
        </w:rPr>
        <w:t>…</w:t>
      </w:r>
      <w:proofErr w:type="gramStart"/>
      <w:r w:rsidRPr="005C10CA">
        <w:rPr>
          <w:rFonts w:cs="Arial"/>
          <w:color w:val="000000"/>
          <w:szCs w:val="19"/>
          <w:shd w:val="clear" w:color="auto" w:fill="95B3D7" w:themeFill="accent1" w:themeFillTint="99"/>
        </w:rPr>
        <w:t>…….</w:t>
      </w:r>
      <w:proofErr w:type="gramEnd"/>
      <w:r w:rsidRPr="005C10CA">
        <w:rPr>
          <w:rFonts w:cs="Arial"/>
          <w:color w:val="000000"/>
          <w:szCs w:val="19"/>
          <w:shd w:val="clear" w:color="auto" w:fill="95B3D7" w:themeFill="accent1" w:themeFillTint="99"/>
        </w:rPr>
        <w:t>.</w:t>
      </w:r>
      <w:r w:rsidRPr="005C10CA">
        <w:rPr>
          <w:rFonts w:cs="Arial"/>
          <w:color w:val="000000" w:themeColor="text1"/>
          <w:szCs w:val="19"/>
        </w:rPr>
        <w:t xml:space="preserve"> € HT par réunion où l'absence a été constatée.</w:t>
      </w:r>
    </w:p>
    <w:p w14:paraId="45DE1501" w14:textId="0E2AC55D" w:rsidR="000915F1" w:rsidRPr="005C10CA" w:rsidRDefault="000915F1" w:rsidP="000915F1">
      <w:pPr>
        <w:jc w:val="both"/>
        <w:rPr>
          <w:rFonts w:cs="Arial"/>
          <w:color w:val="000000" w:themeColor="text1"/>
          <w:szCs w:val="19"/>
        </w:rPr>
      </w:pPr>
      <w:r w:rsidRPr="005C10CA">
        <w:rPr>
          <w:rFonts w:cs="Arial"/>
          <w:color w:val="000000" w:themeColor="text1"/>
          <w:szCs w:val="19"/>
        </w:rPr>
        <w:t xml:space="preserve">En cas de retard supérieur à </w:t>
      </w:r>
      <w:r w:rsidR="0011663C">
        <w:rPr>
          <w:rFonts w:cs="Arial"/>
          <w:color w:val="000000" w:themeColor="text1"/>
          <w:szCs w:val="19"/>
        </w:rPr>
        <w:t>15</w:t>
      </w:r>
      <w:r w:rsidR="00A54960" w:rsidRPr="005C10CA">
        <w:rPr>
          <w:rFonts w:cs="Arial"/>
          <w:color w:val="000000" w:themeColor="text1"/>
          <w:szCs w:val="19"/>
        </w:rPr>
        <w:t xml:space="preserve"> </w:t>
      </w:r>
      <w:r w:rsidRPr="005C10CA">
        <w:rPr>
          <w:rFonts w:cs="Arial"/>
          <w:color w:val="000000" w:themeColor="text1"/>
          <w:szCs w:val="19"/>
        </w:rPr>
        <w:t xml:space="preserve">minutes aux réunions du représentant du titulaire, il sera appliqué une pénalité de </w:t>
      </w:r>
      <w:r w:rsidRPr="005C10CA">
        <w:rPr>
          <w:rFonts w:cs="Arial"/>
          <w:color w:val="000000"/>
          <w:szCs w:val="19"/>
          <w:shd w:val="clear" w:color="auto" w:fill="95B3D7" w:themeFill="accent1" w:themeFillTint="99"/>
        </w:rPr>
        <w:t>…</w:t>
      </w:r>
      <w:proofErr w:type="gramStart"/>
      <w:r w:rsidRPr="005C10CA">
        <w:rPr>
          <w:rFonts w:cs="Arial"/>
          <w:color w:val="000000"/>
          <w:szCs w:val="19"/>
          <w:shd w:val="clear" w:color="auto" w:fill="95B3D7" w:themeFill="accent1" w:themeFillTint="99"/>
        </w:rPr>
        <w:t>…….</w:t>
      </w:r>
      <w:proofErr w:type="gramEnd"/>
      <w:r w:rsidRPr="005C10CA">
        <w:rPr>
          <w:rFonts w:cs="Arial"/>
          <w:color w:val="000000"/>
          <w:szCs w:val="19"/>
          <w:shd w:val="clear" w:color="auto" w:fill="95B3D7" w:themeFill="accent1" w:themeFillTint="99"/>
        </w:rPr>
        <w:t>.</w:t>
      </w:r>
      <w:r w:rsidRPr="005C10CA">
        <w:rPr>
          <w:rFonts w:cs="Arial"/>
          <w:color w:val="000000" w:themeColor="text1"/>
          <w:szCs w:val="19"/>
        </w:rPr>
        <w:t xml:space="preserve"> </w:t>
      </w:r>
      <w:r w:rsidRPr="005C10CA">
        <w:rPr>
          <w:rFonts w:cs="Arial"/>
          <w:szCs w:val="19"/>
        </w:rPr>
        <w:t>€ HT</w:t>
      </w:r>
      <w:r w:rsidRPr="005C10CA">
        <w:rPr>
          <w:rFonts w:cs="Arial"/>
          <w:color w:val="000000" w:themeColor="text1"/>
          <w:szCs w:val="19"/>
        </w:rPr>
        <w:t xml:space="preserve"> par réunion où le retard a été constaté. </w:t>
      </w:r>
    </w:p>
    <w:p w14:paraId="73D89164" w14:textId="71CF6846" w:rsidR="000915F1" w:rsidRPr="005C10CA" w:rsidRDefault="000915F1" w:rsidP="000915F1">
      <w:pPr>
        <w:jc w:val="both"/>
        <w:rPr>
          <w:rFonts w:cs="Arial"/>
          <w:color w:val="000000" w:themeColor="text1"/>
          <w:szCs w:val="19"/>
        </w:rPr>
      </w:pPr>
      <w:r w:rsidRPr="005C10CA">
        <w:rPr>
          <w:rFonts w:cs="Arial"/>
          <w:color w:val="000000" w:themeColor="text1"/>
          <w:szCs w:val="19"/>
        </w:rPr>
        <w:t xml:space="preserve">En cas de non transmission des comptes rendus de réunion, il sera appliqué une pénalité de </w:t>
      </w:r>
      <w:r w:rsidRPr="005C10CA">
        <w:rPr>
          <w:rFonts w:cs="Arial"/>
          <w:color w:val="000000"/>
          <w:szCs w:val="19"/>
          <w:shd w:val="clear" w:color="auto" w:fill="95B3D7" w:themeFill="accent1" w:themeFillTint="99"/>
        </w:rPr>
        <w:t>…</w:t>
      </w:r>
      <w:proofErr w:type="gramStart"/>
      <w:r w:rsidRPr="005C10CA">
        <w:rPr>
          <w:rFonts w:cs="Arial"/>
          <w:color w:val="000000"/>
          <w:szCs w:val="19"/>
          <w:shd w:val="clear" w:color="auto" w:fill="95B3D7" w:themeFill="accent1" w:themeFillTint="99"/>
        </w:rPr>
        <w:t>…….</w:t>
      </w:r>
      <w:proofErr w:type="gramEnd"/>
      <w:r w:rsidRPr="005C10CA">
        <w:rPr>
          <w:rFonts w:cs="Arial"/>
          <w:color w:val="000000"/>
          <w:szCs w:val="19"/>
          <w:shd w:val="clear" w:color="auto" w:fill="95B3D7" w:themeFill="accent1" w:themeFillTint="99"/>
        </w:rPr>
        <w:t>.</w:t>
      </w:r>
      <w:r w:rsidRPr="005C10CA">
        <w:rPr>
          <w:rFonts w:cs="Arial"/>
          <w:color w:val="000000" w:themeColor="text1"/>
          <w:szCs w:val="19"/>
        </w:rPr>
        <w:t xml:space="preserve"> </w:t>
      </w:r>
      <w:r w:rsidRPr="005C10CA">
        <w:rPr>
          <w:rFonts w:cs="Arial"/>
          <w:szCs w:val="19"/>
        </w:rPr>
        <w:t>€ HT</w:t>
      </w:r>
      <w:r w:rsidRPr="005C10CA">
        <w:rPr>
          <w:rFonts w:cs="Arial"/>
          <w:color w:val="000000" w:themeColor="text1"/>
          <w:szCs w:val="19"/>
        </w:rPr>
        <w:t xml:space="preserve"> par compte-rendu non </w:t>
      </w:r>
      <w:r w:rsidR="00C36C79">
        <w:rPr>
          <w:rFonts w:cs="Arial"/>
          <w:color w:val="000000" w:themeColor="text1"/>
          <w:szCs w:val="19"/>
        </w:rPr>
        <w:t>transmis</w:t>
      </w:r>
      <w:r w:rsidRPr="005C10CA">
        <w:rPr>
          <w:rFonts w:cs="Arial"/>
          <w:color w:val="000000" w:themeColor="text1"/>
          <w:szCs w:val="19"/>
        </w:rPr>
        <w:t>.</w:t>
      </w:r>
    </w:p>
    <w:p w14:paraId="564E94D9" w14:textId="60B3FE47" w:rsidR="000915F1" w:rsidRPr="005C10CA" w:rsidRDefault="000915F1" w:rsidP="000915F1">
      <w:pPr>
        <w:jc w:val="both"/>
        <w:rPr>
          <w:rFonts w:cs="Arial"/>
          <w:color w:val="000000" w:themeColor="text1"/>
          <w:szCs w:val="19"/>
        </w:rPr>
      </w:pPr>
      <w:r w:rsidRPr="005C10CA">
        <w:rPr>
          <w:rFonts w:cs="Arial"/>
          <w:color w:val="000000" w:themeColor="text1"/>
          <w:szCs w:val="19"/>
        </w:rPr>
        <w:t>En cas de dépassement du délai défini à l’article 4.</w:t>
      </w:r>
      <w:r w:rsidR="0058246D">
        <w:rPr>
          <w:rFonts w:cs="Arial"/>
          <w:color w:val="000000" w:themeColor="text1"/>
          <w:szCs w:val="19"/>
        </w:rPr>
        <w:t>4</w:t>
      </w:r>
      <w:r w:rsidRPr="005C10CA">
        <w:rPr>
          <w:rFonts w:cs="Arial"/>
          <w:color w:val="000000" w:themeColor="text1"/>
          <w:szCs w:val="19"/>
        </w:rPr>
        <w:t xml:space="preserve"> pour la diffusion des comptes-rendus, il sera appliqué une pénalité de </w:t>
      </w:r>
      <w:r w:rsidRPr="005C10CA">
        <w:rPr>
          <w:rFonts w:cs="Arial"/>
          <w:color w:val="000000"/>
          <w:szCs w:val="19"/>
          <w:shd w:val="clear" w:color="auto" w:fill="95B3D7" w:themeFill="accent1" w:themeFillTint="99"/>
        </w:rPr>
        <w:t>…</w:t>
      </w:r>
      <w:proofErr w:type="gramStart"/>
      <w:r w:rsidRPr="005C10CA">
        <w:rPr>
          <w:rFonts w:cs="Arial"/>
          <w:color w:val="000000"/>
          <w:szCs w:val="19"/>
          <w:shd w:val="clear" w:color="auto" w:fill="95B3D7" w:themeFill="accent1" w:themeFillTint="99"/>
        </w:rPr>
        <w:t>…….</w:t>
      </w:r>
      <w:proofErr w:type="gramEnd"/>
      <w:r w:rsidRPr="005C10CA">
        <w:rPr>
          <w:rFonts w:cs="Arial"/>
          <w:color w:val="000000"/>
          <w:szCs w:val="19"/>
          <w:shd w:val="clear" w:color="auto" w:fill="95B3D7" w:themeFill="accent1" w:themeFillTint="99"/>
        </w:rPr>
        <w:t>.</w:t>
      </w:r>
      <w:r w:rsidRPr="005C10CA">
        <w:rPr>
          <w:rFonts w:cs="Arial"/>
          <w:color w:val="000000" w:themeColor="text1"/>
          <w:szCs w:val="19"/>
        </w:rPr>
        <w:t xml:space="preserve"> </w:t>
      </w:r>
      <w:r w:rsidRPr="005C10CA">
        <w:rPr>
          <w:rFonts w:cs="Arial"/>
          <w:szCs w:val="19"/>
        </w:rPr>
        <w:t>€ HT</w:t>
      </w:r>
      <w:r w:rsidRPr="005C10CA">
        <w:rPr>
          <w:rFonts w:cs="Arial"/>
          <w:color w:val="000000" w:themeColor="text1"/>
          <w:szCs w:val="19"/>
        </w:rPr>
        <w:t xml:space="preserve"> par jour de retard dans la diffusion.</w:t>
      </w:r>
    </w:p>
    <w:p w14:paraId="1FB13BD9" w14:textId="67233AA0" w:rsidR="000915F1" w:rsidRPr="005C10CA" w:rsidRDefault="000915F1" w:rsidP="000915F1">
      <w:pPr>
        <w:jc w:val="both"/>
        <w:rPr>
          <w:rFonts w:cs="Arial"/>
          <w:color w:val="000000" w:themeColor="text1"/>
          <w:szCs w:val="19"/>
        </w:rPr>
      </w:pPr>
      <w:r w:rsidRPr="005C10CA">
        <w:rPr>
          <w:rFonts w:cs="Arial"/>
          <w:color w:val="000000" w:themeColor="text1"/>
          <w:szCs w:val="19"/>
          <w:shd w:val="clear" w:color="auto" w:fill="95B3D7" w:themeFill="accent1" w:themeFillTint="99"/>
        </w:rPr>
        <w:sym w:font="Wingdings" w:char="F071"/>
      </w:r>
      <w:r w:rsidRPr="005C10CA">
        <w:rPr>
          <w:rFonts w:cs="Arial"/>
          <w:color w:val="000000" w:themeColor="text1"/>
          <w:szCs w:val="19"/>
        </w:rPr>
        <w:t xml:space="preserve"> [Sous réserves d’obligations particulières en matière de protection des données personnelles fixées par le marché] En application de l’article 5.2.3 du CCAG-PI, en cas de manquement aux obligations définies dans l’annexe ‘protection des données personnelles’, le </w:t>
      </w:r>
      <w:r w:rsidR="000134EF" w:rsidRPr="005C10CA">
        <w:rPr>
          <w:rFonts w:cs="Arial"/>
          <w:color w:val="000000" w:themeColor="text1"/>
          <w:szCs w:val="19"/>
        </w:rPr>
        <w:t xml:space="preserve">titulaire </w:t>
      </w:r>
      <w:r w:rsidRPr="005C10CA">
        <w:rPr>
          <w:rFonts w:cs="Arial"/>
          <w:color w:val="000000" w:themeColor="text1"/>
          <w:szCs w:val="19"/>
        </w:rPr>
        <w:t>encourt les pénalités suivantes :</w:t>
      </w:r>
    </w:p>
    <w:p w14:paraId="6D51C6B3" w14:textId="77777777" w:rsidR="000915F1" w:rsidRPr="005C10CA" w:rsidRDefault="000915F1" w:rsidP="000915F1">
      <w:pPr>
        <w:jc w:val="both"/>
        <w:rPr>
          <w:rFonts w:cs="Arial"/>
          <w:color w:val="000000" w:themeColor="text1"/>
          <w:szCs w:val="19"/>
          <w:shd w:val="clear" w:color="auto" w:fill="95B3D7" w:themeFill="accent1" w:themeFillTint="99"/>
        </w:rPr>
      </w:pPr>
      <w:r w:rsidRPr="005C10CA">
        <w:rPr>
          <w:rFonts w:cs="Arial"/>
          <w:color w:val="000000" w:themeColor="text1"/>
          <w:szCs w:val="19"/>
          <w:shd w:val="clear" w:color="auto" w:fill="95B3D7" w:themeFill="accent1" w:themeFillTint="99"/>
        </w:rPr>
        <w:t>………………………………………………</w:t>
      </w:r>
    </w:p>
    <w:p w14:paraId="7540BD2E" w14:textId="0EC93E2B" w:rsidR="000915F1" w:rsidRPr="005C10CA" w:rsidRDefault="000915F1" w:rsidP="000915F1">
      <w:pPr>
        <w:jc w:val="both"/>
        <w:rPr>
          <w:rFonts w:cs="Arial"/>
          <w:color w:val="000000" w:themeColor="text1"/>
          <w:szCs w:val="19"/>
        </w:rPr>
      </w:pPr>
      <w:r w:rsidRPr="005C10CA">
        <w:rPr>
          <w:rFonts w:cs="Arial"/>
          <w:color w:val="000000" w:themeColor="text1"/>
          <w:szCs w:val="19"/>
        </w:rPr>
        <w:t xml:space="preserve">En application de l’article 18.2.3 du CCAG-PI, en cas de manquement aux obligations environnementales définies dans les pièces du marché, le </w:t>
      </w:r>
      <w:r w:rsidR="000134EF" w:rsidRPr="005C10CA">
        <w:rPr>
          <w:rFonts w:cs="Arial"/>
          <w:color w:val="000000" w:themeColor="text1"/>
          <w:szCs w:val="19"/>
        </w:rPr>
        <w:t>titulaire</w:t>
      </w:r>
      <w:r w:rsidRPr="005C10CA">
        <w:rPr>
          <w:rFonts w:cs="Arial"/>
          <w:color w:val="000000" w:themeColor="text1"/>
          <w:szCs w:val="19"/>
        </w:rPr>
        <w:t xml:space="preserve"> encourt les pénalités suivantes :</w:t>
      </w:r>
    </w:p>
    <w:p w14:paraId="4FA68D2A" w14:textId="77777777" w:rsidR="000915F1" w:rsidRPr="005C10CA" w:rsidRDefault="000915F1" w:rsidP="000915F1">
      <w:pPr>
        <w:jc w:val="both"/>
        <w:rPr>
          <w:rFonts w:cs="Arial"/>
          <w:color w:val="000000" w:themeColor="text1"/>
          <w:szCs w:val="19"/>
          <w:shd w:val="clear" w:color="auto" w:fill="95B3D7" w:themeFill="accent1" w:themeFillTint="99"/>
        </w:rPr>
      </w:pPr>
      <w:r w:rsidRPr="005C10CA">
        <w:rPr>
          <w:rFonts w:cs="Arial"/>
          <w:color w:val="000000" w:themeColor="text1"/>
          <w:szCs w:val="19"/>
          <w:shd w:val="clear" w:color="auto" w:fill="95B3D7" w:themeFill="accent1" w:themeFillTint="99"/>
        </w:rPr>
        <w:t>………………………………………………</w:t>
      </w:r>
    </w:p>
    <w:p w14:paraId="764A27A4" w14:textId="77777777" w:rsidR="00E86ABC" w:rsidRPr="005C10CA" w:rsidRDefault="000915F1" w:rsidP="00E86ABC">
      <w:pPr>
        <w:jc w:val="both"/>
        <w:rPr>
          <w:rFonts w:cs="Arial"/>
          <w:color w:val="000000" w:themeColor="text1"/>
          <w:szCs w:val="19"/>
          <w:shd w:val="clear" w:color="auto" w:fill="95B3D7" w:themeFill="accent1" w:themeFillTint="99"/>
        </w:rPr>
      </w:pPr>
      <w:r w:rsidRPr="005C10CA">
        <w:rPr>
          <w:rFonts w:cs="Arial"/>
          <w:color w:val="000000" w:themeColor="text1"/>
          <w:szCs w:val="19"/>
          <w:shd w:val="clear" w:color="auto" w:fill="95B3D7" w:themeFill="accent1" w:themeFillTint="99"/>
        </w:rPr>
        <w:sym w:font="Wingdings" w:char="F071"/>
      </w:r>
      <w:r w:rsidRPr="005C10CA">
        <w:rPr>
          <w:rFonts w:cs="Arial"/>
          <w:color w:val="000000" w:themeColor="text1"/>
          <w:szCs w:val="19"/>
        </w:rPr>
        <w:t xml:space="preserve"> [Sous réserves de la réalisation d’action d’insertion sociale] Dans les conditions de l’article 1</w:t>
      </w:r>
      <w:r w:rsidR="000134EF" w:rsidRPr="005C10CA">
        <w:rPr>
          <w:rFonts w:cs="Arial"/>
          <w:color w:val="000000" w:themeColor="text1"/>
          <w:szCs w:val="19"/>
        </w:rPr>
        <w:t>6</w:t>
      </w:r>
      <w:r w:rsidRPr="005C10CA">
        <w:rPr>
          <w:rFonts w:cs="Arial"/>
          <w:color w:val="000000" w:themeColor="text1"/>
          <w:szCs w:val="19"/>
        </w:rPr>
        <w:t>.1.5 du CCAG-</w:t>
      </w:r>
      <w:r w:rsidR="000134EF" w:rsidRPr="005C10CA">
        <w:rPr>
          <w:rFonts w:cs="Arial"/>
          <w:color w:val="000000" w:themeColor="text1"/>
          <w:szCs w:val="19"/>
        </w:rPr>
        <w:t>PI</w:t>
      </w:r>
      <w:r w:rsidRPr="005C10CA">
        <w:rPr>
          <w:rFonts w:cs="Arial"/>
          <w:color w:val="000000" w:themeColor="text1"/>
          <w:szCs w:val="19"/>
        </w:rPr>
        <w:t xml:space="preserve">, en cas de manquement aux obligations d’insertion définies dans les pièces du marché, le </w:t>
      </w:r>
      <w:r w:rsidR="000134EF" w:rsidRPr="005C10CA">
        <w:rPr>
          <w:rFonts w:cs="Arial"/>
          <w:color w:val="000000" w:themeColor="text1"/>
          <w:szCs w:val="19"/>
        </w:rPr>
        <w:t xml:space="preserve">titulaire </w:t>
      </w:r>
      <w:r w:rsidRPr="005C10CA">
        <w:rPr>
          <w:rFonts w:cs="Arial"/>
          <w:color w:val="000000" w:themeColor="text1"/>
          <w:szCs w:val="19"/>
        </w:rPr>
        <w:t>encourt les pénalités suivantes :</w:t>
      </w:r>
      <w:r w:rsidR="00E86ABC" w:rsidRPr="005C10CA">
        <w:rPr>
          <w:rFonts w:cs="Arial"/>
          <w:color w:val="000000" w:themeColor="text1"/>
          <w:szCs w:val="19"/>
        </w:rPr>
        <w:t xml:space="preserve"> </w:t>
      </w:r>
      <w:r w:rsidR="00E86ABC" w:rsidRPr="005C10CA">
        <w:rPr>
          <w:rFonts w:cs="Arial"/>
          <w:color w:val="000000" w:themeColor="text1"/>
          <w:szCs w:val="19"/>
          <w:shd w:val="clear" w:color="auto" w:fill="95B3D7" w:themeFill="accent1" w:themeFillTint="99"/>
        </w:rPr>
        <w:t>………………………………………………</w:t>
      </w:r>
    </w:p>
    <w:p w14:paraId="1B8A2422" w14:textId="15DFB665" w:rsidR="000915F1" w:rsidRPr="005C10CA" w:rsidRDefault="000915F1" w:rsidP="000D2C1A">
      <w:pPr>
        <w:jc w:val="both"/>
        <w:rPr>
          <w:rFonts w:cs="Arial"/>
          <w:color w:val="000000" w:themeColor="text1"/>
          <w:szCs w:val="19"/>
        </w:rPr>
      </w:pPr>
    </w:p>
    <w:p w14:paraId="53F43C26" w14:textId="02456E58" w:rsidR="00F40D59" w:rsidRPr="005C10CA" w:rsidRDefault="00F40D59" w:rsidP="00F40D59">
      <w:pPr>
        <w:pStyle w:val="Titre2"/>
      </w:pPr>
      <w:r w:rsidRPr="005C10CA">
        <w:lastRenderedPageBreak/>
        <w:t xml:space="preserve">Article </w:t>
      </w:r>
      <w:r w:rsidR="007B6ABE">
        <w:t>8</w:t>
      </w:r>
      <w:r w:rsidRPr="005C10CA">
        <w:t xml:space="preserve"> – R</w:t>
      </w:r>
      <w:r w:rsidR="002403ED" w:rsidRPr="005C10CA">
        <w:t>È</w:t>
      </w:r>
      <w:r w:rsidRPr="005C10CA">
        <w:t>GLEMENTS des COMPTES</w:t>
      </w:r>
    </w:p>
    <w:p w14:paraId="791C196C" w14:textId="6A0D23C6" w:rsidR="00FF4087" w:rsidRPr="005C10CA" w:rsidRDefault="00FF4087" w:rsidP="000D2C1A">
      <w:pPr>
        <w:pStyle w:val="Titre4"/>
      </w:pPr>
      <w:bookmarkStart w:id="33" w:name="_Toc525573675"/>
      <w:bookmarkStart w:id="34" w:name="_Toc528596420"/>
      <w:bookmarkStart w:id="35" w:name="_Toc19261848"/>
      <w:r w:rsidRPr="005C10CA">
        <w:t xml:space="preserve">Article </w:t>
      </w:r>
      <w:r w:rsidR="007B6ABE">
        <w:t>8</w:t>
      </w:r>
      <w:r w:rsidRPr="005C10CA">
        <w:t xml:space="preserve">.1 – </w:t>
      </w:r>
      <w:bookmarkEnd w:id="33"/>
      <w:r w:rsidR="000D2C1A" w:rsidRPr="005C10CA">
        <w:t>Avances</w:t>
      </w:r>
      <w:bookmarkEnd w:id="34"/>
      <w:bookmarkEnd w:id="35"/>
      <w:r w:rsidRPr="005C10CA">
        <w:t xml:space="preserve"> </w:t>
      </w:r>
    </w:p>
    <w:p w14:paraId="652381C2" w14:textId="6ECFF70B" w:rsidR="000D2C1A" w:rsidRPr="005C10CA" w:rsidRDefault="000D2C1A" w:rsidP="000D2C1A">
      <w:pPr>
        <w:tabs>
          <w:tab w:val="left" w:pos="720"/>
          <w:tab w:val="left" w:pos="1080"/>
        </w:tabs>
        <w:jc w:val="both"/>
        <w:rPr>
          <w:rFonts w:cs="Arial"/>
          <w:color w:val="000000" w:themeColor="text1"/>
          <w:szCs w:val="19"/>
        </w:rPr>
      </w:pPr>
      <w:r w:rsidRPr="005C10CA">
        <w:rPr>
          <w:rFonts w:cs="Arial"/>
          <w:color w:val="000000" w:themeColor="text1"/>
          <w:szCs w:val="19"/>
        </w:rPr>
        <w:t>Sauf en cas de refus du titulaire indiqué à l’article 2.5 de l’acte d’engagement, si les conditions de montants et de durée d’exécution du marché sont réunies, l</w:t>
      </w:r>
      <w:r w:rsidR="006D1939" w:rsidRPr="005C10CA">
        <w:rPr>
          <w:rFonts w:cs="Arial"/>
          <w:color w:val="000000" w:themeColor="text1"/>
          <w:szCs w:val="19"/>
        </w:rPr>
        <w:t xml:space="preserve">’acheteur </w:t>
      </w:r>
      <w:r w:rsidRPr="005C10CA">
        <w:rPr>
          <w:rFonts w:cs="Arial"/>
          <w:color w:val="000000" w:themeColor="text1"/>
          <w:szCs w:val="19"/>
        </w:rPr>
        <w:t xml:space="preserve">versera une avance prévue par les articles L. 2191-2 et R.2191-3 du code de la commande publique dans les conditions définies ci-dessous. </w:t>
      </w:r>
    </w:p>
    <w:p w14:paraId="1E35DE99" w14:textId="2DB067E9" w:rsidR="000D2C1A" w:rsidRPr="005C10CA" w:rsidRDefault="000D2C1A" w:rsidP="000D2C1A">
      <w:pPr>
        <w:tabs>
          <w:tab w:val="left" w:pos="720"/>
          <w:tab w:val="left" w:pos="1080"/>
        </w:tabs>
        <w:jc w:val="both"/>
        <w:rPr>
          <w:rFonts w:cs="Arial"/>
          <w:color w:val="000000" w:themeColor="text1"/>
          <w:szCs w:val="19"/>
        </w:rPr>
      </w:pPr>
      <w:r w:rsidRPr="005C10CA">
        <w:rPr>
          <w:rFonts w:cs="Arial"/>
          <w:color w:val="000000" w:themeColor="text1"/>
          <w:szCs w:val="19"/>
        </w:rPr>
        <w:t>En application de l’article 11.1 du CCAG-</w:t>
      </w:r>
      <w:r w:rsidR="006D1939" w:rsidRPr="005C10CA">
        <w:rPr>
          <w:rFonts w:cs="Arial"/>
          <w:color w:val="000000" w:themeColor="text1"/>
          <w:szCs w:val="19"/>
        </w:rPr>
        <w:t>PI</w:t>
      </w:r>
      <w:r w:rsidRPr="005C10CA">
        <w:rPr>
          <w:rFonts w:cs="Arial"/>
          <w:color w:val="000000" w:themeColor="text1"/>
          <w:szCs w:val="19"/>
        </w:rPr>
        <w:t>, l</w:t>
      </w:r>
      <w:r w:rsidR="006D1939" w:rsidRPr="005C10CA">
        <w:rPr>
          <w:rFonts w:cs="Arial"/>
          <w:color w:val="000000" w:themeColor="text1"/>
          <w:szCs w:val="19"/>
        </w:rPr>
        <w:t>’acheteur</w:t>
      </w:r>
      <w:r w:rsidRPr="005C10CA">
        <w:rPr>
          <w:rFonts w:cs="Arial"/>
          <w:color w:val="000000" w:themeColor="text1"/>
          <w:szCs w:val="19"/>
        </w:rPr>
        <w:t xml:space="preserve"> retient l’option A. </w:t>
      </w:r>
    </w:p>
    <w:p w14:paraId="13A9555F" w14:textId="72DD02D9" w:rsidR="000D2C1A" w:rsidRPr="005C10CA" w:rsidRDefault="000D2C1A" w:rsidP="000D2C1A">
      <w:pPr>
        <w:pStyle w:val="Paragraphedeliste"/>
        <w:numPr>
          <w:ilvl w:val="0"/>
          <w:numId w:val="43"/>
        </w:numPr>
        <w:tabs>
          <w:tab w:val="left" w:pos="720"/>
          <w:tab w:val="left" w:pos="1080"/>
        </w:tabs>
        <w:jc w:val="both"/>
        <w:rPr>
          <w:rFonts w:cs="Arial"/>
          <w:color w:val="000000" w:themeColor="text1"/>
          <w:szCs w:val="19"/>
          <w:shd w:val="clear" w:color="auto" w:fill="95B3D7" w:themeFill="accent1" w:themeFillTint="99"/>
        </w:rPr>
      </w:pPr>
      <w:r w:rsidRPr="005C10CA">
        <w:rPr>
          <w:rFonts w:cs="Arial"/>
          <w:color w:val="000000" w:themeColor="text1"/>
          <w:szCs w:val="19"/>
        </w:rPr>
        <w:t xml:space="preserve">Lorsque le </w:t>
      </w:r>
      <w:r w:rsidR="000134EF" w:rsidRPr="005C10CA">
        <w:rPr>
          <w:rFonts w:cs="Arial"/>
          <w:color w:val="000000" w:themeColor="text1"/>
          <w:szCs w:val="19"/>
        </w:rPr>
        <w:t>titulaire</w:t>
      </w:r>
      <w:r w:rsidRPr="005C10CA">
        <w:rPr>
          <w:rFonts w:cs="Arial"/>
          <w:color w:val="000000" w:themeColor="text1"/>
          <w:szCs w:val="19"/>
        </w:rPr>
        <w:t xml:space="preserve">, ou le membre du groupement le cas échéant, est une PME au sens du code de la commande publique, </w:t>
      </w:r>
    </w:p>
    <w:p w14:paraId="623CE36B" w14:textId="779D57F9" w:rsidR="000D2C1A" w:rsidRPr="005C10CA" w:rsidRDefault="000D2C1A" w:rsidP="000D2C1A">
      <w:pPr>
        <w:pStyle w:val="Paragraphedeliste"/>
        <w:tabs>
          <w:tab w:val="left" w:pos="720"/>
          <w:tab w:val="left" w:pos="1080"/>
        </w:tabs>
        <w:ind w:left="1440"/>
        <w:jc w:val="both"/>
        <w:rPr>
          <w:rFonts w:cs="Arial"/>
          <w:color w:val="000000" w:themeColor="text1"/>
          <w:szCs w:val="19"/>
        </w:rPr>
      </w:pPr>
      <w:r w:rsidRPr="005C10CA">
        <w:rPr>
          <w:rFonts w:cs="Arial"/>
          <w:color w:val="000000" w:themeColor="text1"/>
          <w:szCs w:val="19"/>
          <w:shd w:val="clear" w:color="auto" w:fill="95B3D7" w:themeFill="accent1" w:themeFillTint="99"/>
        </w:rPr>
        <w:sym w:font="Wingdings" w:char="F071"/>
      </w:r>
      <w:r w:rsidRPr="005C10CA">
        <w:rPr>
          <w:rFonts w:cs="Arial"/>
          <w:color w:val="000000" w:themeColor="text1"/>
          <w:szCs w:val="19"/>
          <w:shd w:val="clear" w:color="auto" w:fill="FFFFFF" w:themeFill="background1"/>
        </w:rPr>
        <w:t xml:space="preserve"> </w:t>
      </w:r>
      <w:r w:rsidRPr="005C10CA">
        <w:rPr>
          <w:rFonts w:cs="Arial"/>
          <w:color w:val="000000" w:themeColor="text1"/>
          <w:szCs w:val="19"/>
        </w:rPr>
        <w:t>le taux de l’avance est fixé à 20% en application de l’article A.11.1 du CCAG-</w:t>
      </w:r>
      <w:r w:rsidR="006D1939" w:rsidRPr="005C10CA">
        <w:rPr>
          <w:rFonts w:cs="Arial"/>
          <w:color w:val="000000" w:themeColor="text1"/>
          <w:szCs w:val="19"/>
        </w:rPr>
        <w:t>PI</w:t>
      </w:r>
      <w:r w:rsidRPr="005C10CA">
        <w:rPr>
          <w:rFonts w:cs="Arial"/>
          <w:color w:val="000000" w:themeColor="text1"/>
          <w:szCs w:val="19"/>
        </w:rPr>
        <w:t xml:space="preserve"> </w:t>
      </w:r>
    </w:p>
    <w:p w14:paraId="54ED6BC4" w14:textId="3F604D78" w:rsidR="000D2C1A" w:rsidRPr="005C10CA" w:rsidRDefault="000D2C1A" w:rsidP="000D2C1A">
      <w:pPr>
        <w:pStyle w:val="Paragraphedeliste"/>
        <w:tabs>
          <w:tab w:val="left" w:pos="720"/>
          <w:tab w:val="left" w:pos="1080"/>
        </w:tabs>
        <w:ind w:left="1440"/>
        <w:jc w:val="both"/>
        <w:rPr>
          <w:rFonts w:cs="Arial"/>
          <w:color w:val="000000" w:themeColor="text1"/>
          <w:szCs w:val="19"/>
        </w:rPr>
      </w:pPr>
      <w:r w:rsidRPr="005C10CA">
        <w:rPr>
          <w:rFonts w:cs="Arial"/>
          <w:color w:val="000000" w:themeColor="text1"/>
          <w:szCs w:val="19"/>
          <w:shd w:val="clear" w:color="auto" w:fill="95B3D7" w:themeFill="accent1" w:themeFillTint="99"/>
        </w:rPr>
        <w:sym w:font="Wingdings" w:char="F071"/>
      </w:r>
      <w:r w:rsidRPr="005C10CA">
        <w:rPr>
          <w:rFonts w:cs="Arial"/>
          <w:color w:val="000000" w:themeColor="text1"/>
          <w:szCs w:val="19"/>
          <w:shd w:val="clear" w:color="auto" w:fill="FFFFFF" w:themeFill="background1"/>
        </w:rPr>
        <w:t xml:space="preserve"> </w:t>
      </w:r>
      <w:r w:rsidRPr="005C10CA">
        <w:rPr>
          <w:rFonts w:cs="Arial"/>
          <w:color w:val="000000" w:themeColor="text1"/>
          <w:szCs w:val="19"/>
        </w:rPr>
        <w:t xml:space="preserve">le taux de l’avance est fixé à </w:t>
      </w:r>
      <w:r w:rsidRPr="005C10CA">
        <w:rPr>
          <w:rFonts w:cs="Arial"/>
          <w:color w:val="000000" w:themeColor="text1"/>
          <w:szCs w:val="19"/>
          <w:shd w:val="clear" w:color="auto" w:fill="95B3D7" w:themeFill="accent1" w:themeFillTint="99"/>
        </w:rPr>
        <w:t>XX</w:t>
      </w:r>
      <w:r w:rsidRPr="005C10CA">
        <w:rPr>
          <w:rFonts w:cs="Arial"/>
          <w:color w:val="000000" w:themeColor="text1"/>
          <w:szCs w:val="19"/>
        </w:rPr>
        <w:t xml:space="preserve"> %</w:t>
      </w:r>
      <w:r w:rsidRPr="005C10CA">
        <w:rPr>
          <w:rFonts w:cs="Arial"/>
          <w:color w:val="000000" w:themeColor="text1"/>
          <w:szCs w:val="19"/>
          <w:shd w:val="clear" w:color="auto" w:fill="FFFFFF" w:themeFill="background1"/>
        </w:rPr>
        <w:t xml:space="preserve"> </w:t>
      </w:r>
      <w:r w:rsidRPr="005C10CA">
        <w:rPr>
          <w:rFonts w:cs="Arial"/>
          <w:color w:val="000000" w:themeColor="text1"/>
          <w:szCs w:val="19"/>
          <w:shd w:val="clear" w:color="auto" w:fill="95B3D7" w:themeFill="accent1" w:themeFillTint="99"/>
        </w:rPr>
        <w:t xml:space="preserve">[Taux supérieur à 20% en application de l’article </w:t>
      </w:r>
      <w:r w:rsidR="00B32201">
        <w:rPr>
          <w:rFonts w:cs="Arial"/>
          <w:color w:val="000000" w:themeColor="text1"/>
          <w:szCs w:val="19"/>
          <w:shd w:val="clear" w:color="auto" w:fill="95B3D7" w:themeFill="accent1" w:themeFillTint="99"/>
        </w:rPr>
        <w:t>A</w:t>
      </w:r>
      <w:r w:rsidRPr="005C10CA">
        <w:rPr>
          <w:rFonts w:cs="Arial"/>
          <w:color w:val="000000" w:themeColor="text1"/>
          <w:szCs w:val="19"/>
          <w:shd w:val="clear" w:color="auto" w:fill="95B3D7" w:themeFill="accent1" w:themeFillTint="99"/>
        </w:rPr>
        <w:t>11.1.1 du CCAG-</w:t>
      </w:r>
      <w:r w:rsidR="006D1939" w:rsidRPr="005C10CA">
        <w:rPr>
          <w:rFonts w:cs="Arial"/>
          <w:color w:val="000000" w:themeColor="text1"/>
          <w:szCs w:val="19"/>
          <w:shd w:val="clear" w:color="auto" w:fill="95B3D7" w:themeFill="accent1" w:themeFillTint="99"/>
        </w:rPr>
        <w:t>PI</w:t>
      </w:r>
      <w:r w:rsidRPr="005C10CA">
        <w:rPr>
          <w:rFonts w:cs="Arial"/>
          <w:color w:val="000000" w:themeColor="text1"/>
          <w:szCs w:val="19"/>
          <w:shd w:val="clear" w:color="auto" w:fill="95B3D7" w:themeFill="accent1" w:themeFillTint="99"/>
        </w:rPr>
        <w:t>]</w:t>
      </w:r>
    </w:p>
    <w:p w14:paraId="334C2D9F" w14:textId="77777777" w:rsidR="000D2C1A" w:rsidRPr="005C10CA" w:rsidRDefault="000D2C1A" w:rsidP="000D2C1A">
      <w:pPr>
        <w:pStyle w:val="Paragraphedeliste"/>
        <w:tabs>
          <w:tab w:val="left" w:pos="720"/>
          <w:tab w:val="left" w:pos="1080"/>
        </w:tabs>
        <w:ind w:left="1440"/>
        <w:jc w:val="both"/>
        <w:rPr>
          <w:rFonts w:cs="Arial"/>
          <w:color w:val="000000" w:themeColor="text1"/>
          <w:szCs w:val="19"/>
          <w:shd w:val="clear" w:color="auto" w:fill="95B3D7" w:themeFill="accent1" w:themeFillTint="99"/>
        </w:rPr>
      </w:pPr>
    </w:p>
    <w:p w14:paraId="0C7F0A6D" w14:textId="0722BF36" w:rsidR="000D2C1A" w:rsidRPr="005C10CA" w:rsidRDefault="000D2C1A" w:rsidP="000D2C1A">
      <w:pPr>
        <w:pStyle w:val="Paragraphedeliste"/>
        <w:numPr>
          <w:ilvl w:val="0"/>
          <w:numId w:val="42"/>
        </w:numPr>
        <w:tabs>
          <w:tab w:val="left" w:pos="720"/>
          <w:tab w:val="left" w:pos="1080"/>
        </w:tabs>
        <w:jc w:val="both"/>
        <w:rPr>
          <w:rFonts w:cs="Arial"/>
          <w:color w:val="000000" w:themeColor="text1"/>
          <w:szCs w:val="19"/>
          <w:shd w:val="clear" w:color="auto" w:fill="95B3D7" w:themeFill="accent1" w:themeFillTint="99"/>
        </w:rPr>
      </w:pPr>
      <w:r w:rsidRPr="005C10CA">
        <w:rPr>
          <w:rFonts w:cs="Arial"/>
          <w:color w:val="000000" w:themeColor="text1"/>
          <w:szCs w:val="19"/>
        </w:rPr>
        <w:t xml:space="preserve">Lorsque le </w:t>
      </w:r>
      <w:r w:rsidR="000134EF" w:rsidRPr="005C10CA">
        <w:rPr>
          <w:rFonts w:cs="Arial"/>
          <w:color w:val="000000" w:themeColor="text1"/>
          <w:szCs w:val="19"/>
        </w:rPr>
        <w:t>titulaire</w:t>
      </w:r>
      <w:r w:rsidRPr="005C10CA">
        <w:rPr>
          <w:rFonts w:cs="Arial"/>
          <w:color w:val="000000" w:themeColor="text1"/>
          <w:szCs w:val="19"/>
        </w:rPr>
        <w:t>, ou le membre du groupement le cas échéant, n’est pas une PME au sens du code de la commande publique, le taux de l’avance est fixé à :</w:t>
      </w:r>
    </w:p>
    <w:p w14:paraId="00BFAD07" w14:textId="77777777" w:rsidR="000D2C1A" w:rsidRPr="005C10CA" w:rsidRDefault="000D2C1A" w:rsidP="000D2C1A">
      <w:pPr>
        <w:pStyle w:val="Paragraphedeliste"/>
        <w:tabs>
          <w:tab w:val="left" w:pos="720"/>
          <w:tab w:val="left" w:pos="1080"/>
        </w:tabs>
        <w:jc w:val="both"/>
        <w:rPr>
          <w:rFonts w:cs="Arial"/>
          <w:color w:val="000000" w:themeColor="text1"/>
          <w:szCs w:val="19"/>
        </w:rPr>
      </w:pPr>
      <w:r w:rsidRPr="005C10CA">
        <w:rPr>
          <w:rFonts w:cs="Arial"/>
          <w:color w:val="000000" w:themeColor="text1"/>
          <w:szCs w:val="19"/>
        </w:rPr>
        <w:tab/>
      </w:r>
      <w:r w:rsidRPr="005C10CA">
        <w:rPr>
          <w:rFonts w:cs="Arial"/>
          <w:color w:val="000000" w:themeColor="text1"/>
          <w:szCs w:val="19"/>
        </w:rPr>
        <w:tab/>
      </w:r>
      <w:r w:rsidRPr="005C10CA">
        <w:rPr>
          <w:color w:val="000000" w:themeColor="text1"/>
          <w:shd w:val="clear" w:color="auto" w:fill="95B3D7" w:themeFill="accent1" w:themeFillTint="99"/>
        </w:rPr>
        <w:sym w:font="Wingdings" w:char="F071"/>
      </w:r>
      <w:r w:rsidRPr="005C10CA">
        <w:rPr>
          <w:color w:val="000000" w:themeColor="text1"/>
          <w:shd w:val="clear" w:color="auto" w:fill="FFFFFF" w:themeFill="background1"/>
        </w:rPr>
        <w:t xml:space="preserve"> </w:t>
      </w:r>
      <w:r w:rsidRPr="005C10CA">
        <w:rPr>
          <w:rFonts w:cs="Arial"/>
          <w:color w:val="000000" w:themeColor="text1"/>
          <w:szCs w:val="19"/>
          <w:shd w:val="clear" w:color="auto" w:fill="95B3D7" w:themeFill="accent1" w:themeFillTint="99"/>
        </w:rPr>
        <w:t>XX</w:t>
      </w:r>
      <w:r w:rsidRPr="005C10CA">
        <w:rPr>
          <w:rFonts w:cs="Arial"/>
          <w:color w:val="000000" w:themeColor="text1"/>
          <w:szCs w:val="19"/>
        </w:rPr>
        <w:t xml:space="preserve"> % </w:t>
      </w:r>
    </w:p>
    <w:p w14:paraId="545D8636" w14:textId="77777777" w:rsidR="000D2C1A" w:rsidRPr="005C10CA" w:rsidRDefault="000D2C1A" w:rsidP="000D2C1A">
      <w:pPr>
        <w:pStyle w:val="Paragraphedeliste"/>
        <w:tabs>
          <w:tab w:val="left" w:pos="720"/>
          <w:tab w:val="left" w:pos="1080"/>
        </w:tabs>
        <w:jc w:val="both"/>
        <w:rPr>
          <w:rFonts w:cs="Arial"/>
          <w:color w:val="000000" w:themeColor="text1"/>
          <w:szCs w:val="19"/>
          <w:shd w:val="clear" w:color="auto" w:fill="95B3D7" w:themeFill="accent1" w:themeFillTint="99"/>
        </w:rPr>
      </w:pPr>
      <w:r w:rsidRPr="005C10CA">
        <w:rPr>
          <w:rFonts w:cs="Arial"/>
          <w:color w:val="000000" w:themeColor="text1"/>
          <w:szCs w:val="19"/>
          <w:shd w:val="clear" w:color="auto" w:fill="FFFFFF" w:themeFill="background1"/>
        </w:rPr>
        <w:tab/>
      </w:r>
      <w:r w:rsidRPr="005C10CA">
        <w:rPr>
          <w:rFonts w:cs="Arial"/>
          <w:color w:val="000000" w:themeColor="text1"/>
          <w:szCs w:val="19"/>
          <w:shd w:val="clear" w:color="auto" w:fill="FFFFFF" w:themeFill="background1"/>
        </w:rPr>
        <w:tab/>
      </w:r>
      <w:r w:rsidRPr="005C10CA">
        <w:rPr>
          <w:color w:val="000000" w:themeColor="text1"/>
          <w:shd w:val="clear" w:color="auto" w:fill="95B3D7" w:themeFill="accent1" w:themeFillTint="99"/>
        </w:rPr>
        <w:sym w:font="Wingdings" w:char="F071"/>
      </w:r>
      <w:r w:rsidRPr="005C10CA">
        <w:rPr>
          <w:rFonts w:cs="Arial"/>
          <w:color w:val="000000" w:themeColor="text1"/>
          <w:szCs w:val="19"/>
          <w:shd w:val="clear" w:color="auto" w:fill="FFFFFF" w:themeFill="background1"/>
        </w:rPr>
        <w:t xml:space="preserve"> à 5% en application de l’article R. 2191-7 du code de la commande publique</w:t>
      </w:r>
    </w:p>
    <w:p w14:paraId="3C914A04" w14:textId="77777777" w:rsidR="000D2C1A" w:rsidRPr="005C10CA" w:rsidRDefault="000D2C1A" w:rsidP="000D2C1A">
      <w:pPr>
        <w:tabs>
          <w:tab w:val="left" w:pos="720"/>
          <w:tab w:val="left" w:pos="1080"/>
        </w:tabs>
        <w:jc w:val="both"/>
        <w:rPr>
          <w:rFonts w:cs="Arial"/>
          <w:color w:val="000000"/>
          <w:szCs w:val="19"/>
        </w:rPr>
      </w:pPr>
      <w:r w:rsidRPr="005C10CA">
        <w:rPr>
          <w:rFonts w:cs="Arial"/>
          <w:color w:val="000000"/>
          <w:szCs w:val="19"/>
        </w:rPr>
        <w:t>Si la durée globale prévisionnelle indiquée à l’article 2.6 de l’acte d’engagement est inférieure à 12 mois, ce taux s’applique au montant initial toutes taxes comprises du marché.</w:t>
      </w:r>
    </w:p>
    <w:p w14:paraId="2CD15E6F" w14:textId="77777777" w:rsidR="000D2C1A" w:rsidRPr="005C10CA" w:rsidRDefault="000D2C1A" w:rsidP="000D2C1A">
      <w:pPr>
        <w:tabs>
          <w:tab w:val="left" w:pos="720"/>
          <w:tab w:val="left" w:pos="1080"/>
        </w:tabs>
        <w:jc w:val="both"/>
        <w:rPr>
          <w:rFonts w:cs="Arial"/>
          <w:color w:val="000000"/>
          <w:szCs w:val="19"/>
        </w:rPr>
      </w:pPr>
      <w:r w:rsidRPr="005C10CA">
        <w:rPr>
          <w:rFonts w:cs="Arial"/>
          <w:color w:val="000000"/>
          <w:szCs w:val="19"/>
        </w:rPr>
        <w:t>Si cette durée est supérieure à douze mois, ce taux s’applique à une somme égale à douze fois le montant initial toutes taxes comprises du marché divisé par sa durée exprimée en mois.</w:t>
      </w:r>
    </w:p>
    <w:p w14:paraId="2599D629" w14:textId="77777777" w:rsidR="006D1939" w:rsidRPr="005C10CA" w:rsidRDefault="006D1939" w:rsidP="006D1939">
      <w:pPr>
        <w:tabs>
          <w:tab w:val="left" w:pos="720"/>
          <w:tab w:val="left" w:pos="1080"/>
        </w:tabs>
        <w:jc w:val="both"/>
        <w:rPr>
          <w:rFonts w:cs="Arial"/>
          <w:color w:val="000000" w:themeColor="text1"/>
          <w:szCs w:val="19"/>
        </w:rPr>
      </w:pPr>
      <w:r w:rsidRPr="005C10CA">
        <w:rPr>
          <w:rFonts w:cs="Arial"/>
          <w:color w:val="000000" w:themeColor="text1"/>
          <w:szCs w:val="19"/>
        </w:rPr>
        <w:t xml:space="preserve">En cas de groupement conjoint, les conditions de versement de l’avance sont appréciées au regard de la taille d’entreprise propre à chacun des membres. </w:t>
      </w:r>
    </w:p>
    <w:p w14:paraId="19B9982C" w14:textId="77777777" w:rsidR="006D1939" w:rsidRPr="005C10CA" w:rsidRDefault="006D1939" w:rsidP="006D1939">
      <w:pPr>
        <w:tabs>
          <w:tab w:val="left" w:pos="720"/>
          <w:tab w:val="left" w:pos="1080"/>
        </w:tabs>
        <w:jc w:val="both"/>
        <w:rPr>
          <w:rFonts w:cs="Arial"/>
          <w:color w:val="000000" w:themeColor="text1"/>
          <w:szCs w:val="19"/>
        </w:rPr>
      </w:pPr>
      <w:r w:rsidRPr="005C10CA">
        <w:rPr>
          <w:rFonts w:cs="Arial"/>
          <w:color w:val="000000" w:themeColor="text1"/>
          <w:szCs w:val="19"/>
        </w:rPr>
        <w:t xml:space="preserve">La part de l’avance versée à chaque membre du groupement est rapportée au montant identifié dans la répartition financière indiquée à l’article 2.3 de l’acte d’engagement et détaillée en annexe financière. </w:t>
      </w:r>
    </w:p>
    <w:p w14:paraId="7720A023" w14:textId="72565F3D" w:rsidR="000D2C1A" w:rsidRPr="005C10CA" w:rsidRDefault="000D2C1A" w:rsidP="000D2C1A">
      <w:pPr>
        <w:tabs>
          <w:tab w:val="left" w:pos="720"/>
          <w:tab w:val="left" w:pos="1080"/>
        </w:tabs>
        <w:jc w:val="both"/>
        <w:rPr>
          <w:rFonts w:cs="Arial"/>
          <w:color w:val="000000"/>
          <w:szCs w:val="19"/>
        </w:rPr>
      </w:pPr>
      <w:r w:rsidRPr="005C10CA">
        <w:rPr>
          <w:rFonts w:cs="Arial"/>
          <w:color w:val="000000"/>
          <w:szCs w:val="19"/>
        </w:rPr>
        <w:t>Le paiement de cette avance intervient dans le délai d'un mois à compter de la notification du marché. Le montant de l'avance ne peut être affecté par la mise en œuvre d'une clause de variation de prix.</w:t>
      </w:r>
    </w:p>
    <w:p w14:paraId="39AC5A6C" w14:textId="1D9BE109" w:rsidR="000D2C1A" w:rsidRPr="005C10CA" w:rsidRDefault="000D2C1A" w:rsidP="000D2C1A">
      <w:pPr>
        <w:tabs>
          <w:tab w:val="left" w:pos="720"/>
          <w:tab w:val="left" w:pos="1080"/>
        </w:tabs>
        <w:jc w:val="both"/>
        <w:rPr>
          <w:rFonts w:cs="Arial"/>
          <w:color w:val="000000"/>
          <w:szCs w:val="19"/>
        </w:rPr>
      </w:pPr>
      <w:r w:rsidRPr="005C10CA">
        <w:rPr>
          <w:rFonts w:cs="Arial"/>
          <w:color w:val="000000"/>
          <w:szCs w:val="19"/>
        </w:rPr>
        <w:t xml:space="preserve">Le remboursement de l’avance commence lorsque le montant des prestations exécutées par le </w:t>
      </w:r>
      <w:r w:rsidR="000134EF" w:rsidRPr="005C10CA">
        <w:rPr>
          <w:rFonts w:cs="Arial"/>
          <w:color w:val="000000"/>
          <w:szCs w:val="19"/>
        </w:rPr>
        <w:t>titulaire</w:t>
      </w:r>
      <w:r w:rsidRPr="005C10CA">
        <w:rPr>
          <w:rFonts w:cs="Arial"/>
          <w:color w:val="000000"/>
          <w:szCs w:val="19"/>
        </w:rPr>
        <w:t xml:space="preserve">, au titre du marché, atteint ou dépasse 65% du montant toutes taxes comprises, des prestations qui lui sont confiées. Ce remboursement est terminé lorsque le montant des prestations exécutées par le </w:t>
      </w:r>
      <w:r w:rsidR="000134EF" w:rsidRPr="005C10CA">
        <w:rPr>
          <w:rFonts w:cs="Arial"/>
          <w:color w:val="000000"/>
          <w:szCs w:val="19"/>
        </w:rPr>
        <w:t>titulaire</w:t>
      </w:r>
      <w:r w:rsidRPr="005C10CA">
        <w:rPr>
          <w:rFonts w:cs="Arial"/>
          <w:color w:val="000000"/>
          <w:szCs w:val="19"/>
        </w:rPr>
        <w:t xml:space="preserve"> atteint 80% du montant toutes taxes comprises, des prestations qui lui sont confiées. </w:t>
      </w:r>
    </w:p>
    <w:p w14:paraId="0B230BBE" w14:textId="5FC3E93E" w:rsidR="006D1939" w:rsidRPr="005C10CA" w:rsidRDefault="006D1939" w:rsidP="006D1939">
      <w:pPr>
        <w:pStyle w:val="Titre4"/>
      </w:pPr>
      <w:bookmarkStart w:id="36" w:name="_Toc73013666"/>
      <w:r w:rsidRPr="005C10CA">
        <w:t xml:space="preserve">Article </w:t>
      </w:r>
      <w:r w:rsidR="007B6ABE">
        <w:t>8</w:t>
      </w:r>
      <w:r w:rsidRPr="005C10CA">
        <w:t>.2 – Demande de paiement</w:t>
      </w:r>
      <w:bookmarkEnd w:id="36"/>
      <w:r w:rsidRPr="005C10CA">
        <w:t xml:space="preserve"> </w:t>
      </w:r>
    </w:p>
    <w:p w14:paraId="5A861CF6" w14:textId="6A18E0BA" w:rsidR="006D1939" w:rsidRPr="005C10CA" w:rsidRDefault="006D1939" w:rsidP="006D1939">
      <w:pPr>
        <w:jc w:val="both"/>
        <w:rPr>
          <w:color w:val="000000" w:themeColor="text1"/>
        </w:rPr>
      </w:pPr>
      <w:r w:rsidRPr="005C10CA">
        <w:rPr>
          <w:color w:val="000000" w:themeColor="text1"/>
        </w:rPr>
        <w:t xml:space="preserve">En application de l’article L. 2192-1 du code de la commande publique, les demandes de paiement sont transmises de manière dématérialisée à l’acheteur sur le portail public de facturation et comportent les mentions obligatoires définies à l’article D. 2192-2 du code de la commande publique. </w:t>
      </w:r>
    </w:p>
    <w:p w14:paraId="6611F842" w14:textId="084304B6" w:rsidR="006D1939" w:rsidRPr="005C10CA" w:rsidRDefault="006D1939" w:rsidP="006D1939">
      <w:pPr>
        <w:jc w:val="both"/>
        <w:rPr>
          <w:color w:val="000000" w:themeColor="text1"/>
        </w:rPr>
      </w:pPr>
      <w:r w:rsidRPr="005C10CA">
        <w:rPr>
          <w:color w:val="000000" w:themeColor="text1"/>
        </w:rPr>
        <w:t xml:space="preserve">Les modalités d’établissement de la demande de paiement, et le cas échéant l’utilisation de modèle propre à l’acheteur, sont précisées au titulaire lors de la réunion de lancement. </w:t>
      </w:r>
    </w:p>
    <w:p w14:paraId="5A6DF595" w14:textId="689C4C34" w:rsidR="006D1939" w:rsidRPr="005C10CA" w:rsidRDefault="006D1939" w:rsidP="006D1939">
      <w:pPr>
        <w:pStyle w:val="Titre5"/>
      </w:pPr>
      <w:bookmarkStart w:id="37" w:name="_Toc528596421"/>
      <w:bookmarkStart w:id="38" w:name="_Toc19261849"/>
      <w:bookmarkStart w:id="39" w:name="_Toc73013667"/>
      <w:r w:rsidRPr="005C10CA">
        <w:t xml:space="preserve">Article </w:t>
      </w:r>
      <w:r w:rsidR="007B6ABE">
        <w:t>8</w:t>
      </w:r>
      <w:r w:rsidRPr="005C10CA">
        <w:t>.2.1 – Acomptes</w:t>
      </w:r>
      <w:bookmarkEnd w:id="37"/>
      <w:bookmarkEnd w:id="38"/>
      <w:bookmarkEnd w:id="39"/>
    </w:p>
    <w:p w14:paraId="47734DC3" w14:textId="27D06BDA" w:rsidR="006D1939" w:rsidRPr="005C10CA" w:rsidRDefault="006D1939" w:rsidP="006D1939">
      <w:pPr>
        <w:tabs>
          <w:tab w:val="left" w:pos="720"/>
          <w:tab w:val="left" w:pos="1080"/>
        </w:tabs>
        <w:jc w:val="both"/>
        <w:rPr>
          <w:rFonts w:cs="Arial"/>
          <w:color w:val="000000" w:themeColor="text1"/>
          <w:szCs w:val="19"/>
        </w:rPr>
      </w:pPr>
      <w:r w:rsidRPr="005C10CA">
        <w:rPr>
          <w:rFonts w:cs="Arial"/>
          <w:color w:val="000000" w:themeColor="text1"/>
          <w:szCs w:val="19"/>
        </w:rPr>
        <w:t xml:space="preserve">Chaque acompte fait l’objet d’une demande de paiement établie par </w:t>
      </w:r>
      <w:r w:rsidR="00EE05F3" w:rsidRPr="005C10CA">
        <w:rPr>
          <w:rFonts w:cs="Arial"/>
          <w:color w:val="000000" w:themeColor="text1"/>
          <w:szCs w:val="19"/>
        </w:rPr>
        <w:t>l’acheteur</w:t>
      </w:r>
      <w:r w:rsidRPr="005C10CA">
        <w:rPr>
          <w:rFonts w:cs="Arial"/>
          <w:color w:val="000000" w:themeColor="text1"/>
          <w:szCs w:val="19"/>
        </w:rPr>
        <w:t xml:space="preserve"> à laquelle il joint les pièces relatives à la réalisation des prestations, nécessaires à la justification du paiement. </w:t>
      </w:r>
    </w:p>
    <w:p w14:paraId="2D7B1C9D" w14:textId="77777777" w:rsidR="006D1939" w:rsidRPr="005C10CA" w:rsidRDefault="006D1939" w:rsidP="006D1939">
      <w:pPr>
        <w:tabs>
          <w:tab w:val="left" w:pos="720"/>
          <w:tab w:val="left" w:pos="1080"/>
        </w:tabs>
        <w:spacing w:after="60"/>
        <w:jc w:val="both"/>
        <w:rPr>
          <w:rFonts w:cs="Arial"/>
          <w:color w:val="000000" w:themeColor="text1"/>
          <w:szCs w:val="19"/>
        </w:rPr>
      </w:pPr>
      <w:r w:rsidRPr="005C10CA">
        <w:rPr>
          <w:rFonts w:cs="Arial"/>
          <w:color w:val="000000" w:themeColor="text1"/>
          <w:szCs w:val="19"/>
        </w:rPr>
        <w:t>La demande de paiement est datée et mentionne les références du marché ainsi que, selon le cas :</w:t>
      </w:r>
    </w:p>
    <w:p w14:paraId="670586A7" w14:textId="651E498B" w:rsidR="006D1939" w:rsidRPr="005C10CA" w:rsidRDefault="006D1939" w:rsidP="006D1939">
      <w:pPr>
        <w:pStyle w:val="Paragraphedeliste"/>
        <w:numPr>
          <w:ilvl w:val="0"/>
          <w:numId w:val="20"/>
        </w:numPr>
        <w:tabs>
          <w:tab w:val="left" w:pos="720"/>
          <w:tab w:val="left" w:pos="1080"/>
        </w:tabs>
        <w:jc w:val="both"/>
        <w:rPr>
          <w:rFonts w:cs="Arial"/>
          <w:color w:val="000000" w:themeColor="text1"/>
          <w:szCs w:val="19"/>
        </w:rPr>
      </w:pPr>
      <w:r w:rsidRPr="005C10CA">
        <w:rPr>
          <w:rFonts w:cs="Arial"/>
          <w:color w:val="000000" w:themeColor="text1"/>
          <w:szCs w:val="19"/>
        </w:rPr>
        <w:t>le montant des prestations réalisées, établi conformément aux stipulations du marché, hors TVA et, le cas échéant, diminué des réfactions fixées conformément à l'article 21.3 du CCAG-</w:t>
      </w:r>
      <w:r w:rsidR="00B66877" w:rsidRPr="005C10CA">
        <w:rPr>
          <w:rFonts w:cs="Arial"/>
          <w:color w:val="000000" w:themeColor="text1"/>
          <w:szCs w:val="19"/>
        </w:rPr>
        <w:t>PI</w:t>
      </w:r>
      <w:r w:rsidR="00084450" w:rsidRPr="005C10CA">
        <w:rPr>
          <w:rFonts w:cs="Arial"/>
          <w:color w:val="000000" w:themeColor="text1"/>
          <w:szCs w:val="19"/>
        </w:rPr>
        <w:t> ;</w:t>
      </w:r>
    </w:p>
    <w:p w14:paraId="5A0BA9C8" w14:textId="77777777" w:rsidR="006D1939" w:rsidRPr="005C10CA" w:rsidRDefault="006D1939" w:rsidP="006D1939">
      <w:pPr>
        <w:pStyle w:val="Paragraphedeliste"/>
        <w:numPr>
          <w:ilvl w:val="0"/>
          <w:numId w:val="20"/>
        </w:numPr>
        <w:tabs>
          <w:tab w:val="left" w:pos="720"/>
          <w:tab w:val="left" w:pos="1080"/>
        </w:tabs>
        <w:jc w:val="both"/>
        <w:rPr>
          <w:rFonts w:cs="Arial"/>
          <w:color w:val="000000" w:themeColor="text1"/>
          <w:szCs w:val="19"/>
        </w:rPr>
      </w:pPr>
      <w:r w:rsidRPr="005C10CA">
        <w:rPr>
          <w:rFonts w:cs="Arial"/>
          <w:color w:val="000000" w:themeColor="text1"/>
          <w:szCs w:val="19"/>
        </w:rPr>
        <w:t>en cas de groupement conjoint, pour chaque opérateur économique, le montant des prestations effectuées par l'opérateur économique ;</w:t>
      </w:r>
    </w:p>
    <w:p w14:paraId="0C7D33D4" w14:textId="77777777" w:rsidR="006D1939" w:rsidRPr="005C10CA" w:rsidRDefault="006D1939" w:rsidP="006D1939">
      <w:pPr>
        <w:pStyle w:val="Paragraphedeliste"/>
        <w:numPr>
          <w:ilvl w:val="0"/>
          <w:numId w:val="20"/>
        </w:numPr>
        <w:tabs>
          <w:tab w:val="left" w:pos="720"/>
          <w:tab w:val="left" w:pos="1080"/>
        </w:tabs>
        <w:jc w:val="both"/>
        <w:rPr>
          <w:rFonts w:cs="Arial"/>
          <w:color w:val="000000" w:themeColor="text1"/>
          <w:szCs w:val="19"/>
        </w:rPr>
      </w:pPr>
      <w:r w:rsidRPr="005C10CA">
        <w:rPr>
          <w:rFonts w:cs="Arial"/>
          <w:color w:val="000000" w:themeColor="text1"/>
          <w:szCs w:val="19"/>
        </w:rPr>
        <w:t>en cas de sous-traitance, la nature des prestations exécutées par le sous-traitant, leur montant total hors taxes, leur montant TTC ainsi que, le cas échéant les variations de prix établies HT et TTC ;</w:t>
      </w:r>
    </w:p>
    <w:p w14:paraId="5D649DF2" w14:textId="77777777" w:rsidR="006D1939" w:rsidRPr="005C10CA" w:rsidRDefault="006D1939" w:rsidP="006D1939">
      <w:pPr>
        <w:pStyle w:val="Paragraphedeliste"/>
        <w:numPr>
          <w:ilvl w:val="0"/>
          <w:numId w:val="20"/>
        </w:numPr>
        <w:tabs>
          <w:tab w:val="left" w:pos="720"/>
          <w:tab w:val="left" w:pos="1080"/>
        </w:tabs>
        <w:spacing w:after="120"/>
        <w:ind w:left="714" w:hanging="357"/>
        <w:contextualSpacing w:val="0"/>
        <w:jc w:val="both"/>
        <w:rPr>
          <w:rFonts w:cs="Arial"/>
          <w:color w:val="000000" w:themeColor="text1"/>
          <w:szCs w:val="19"/>
        </w:rPr>
      </w:pPr>
      <w:r w:rsidRPr="005C10CA">
        <w:rPr>
          <w:rFonts w:cs="Arial"/>
          <w:color w:val="000000" w:themeColor="text1"/>
          <w:szCs w:val="19"/>
        </w:rPr>
        <w:lastRenderedPageBreak/>
        <w:t>le numéro d’engagement du titulaire, des cotraitants et éventuels sous-traitants à renseigner dans le portail public de facturation.</w:t>
      </w:r>
    </w:p>
    <w:p w14:paraId="780C2F24" w14:textId="77777777" w:rsidR="006D1939" w:rsidRPr="005C10CA" w:rsidRDefault="006D1939" w:rsidP="006D1939">
      <w:pPr>
        <w:tabs>
          <w:tab w:val="left" w:pos="720"/>
          <w:tab w:val="left" w:pos="1080"/>
        </w:tabs>
        <w:spacing w:after="60"/>
        <w:jc w:val="both"/>
        <w:rPr>
          <w:rFonts w:cs="Arial"/>
          <w:szCs w:val="19"/>
        </w:rPr>
      </w:pPr>
      <w:r w:rsidRPr="005C10CA">
        <w:rPr>
          <w:rFonts w:cs="Arial"/>
          <w:szCs w:val="19"/>
        </w:rPr>
        <w:t>La demande de paiement précise les éléments assujettis à la TVA, en les distinguant selon le taux applicable.</w:t>
      </w:r>
    </w:p>
    <w:p w14:paraId="06797D4E" w14:textId="27FCE283" w:rsidR="006D1939" w:rsidRPr="005C10CA" w:rsidRDefault="006D1939" w:rsidP="006D1939">
      <w:pPr>
        <w:tabs>
          <w:tab w:val="left" w:pos="720"/>
          <w:tab w:val="left" w:pos="1080"/>
        </w:tabs>
        <w:jc w:val="both"/>
        <w:rPr>
          <w:rFonts w:cs="Arial"/>
          <w:color w:val="000000" w:themeColor="text1"/>
          <w:szCs w:val="19"/>
        </w:rPr>
      </w:pPr>
      <w:r w:rsidRPr="005C10CA">
        <w:rPr>
          <w:rFonts w:cs="Arial"/>
          <w:color w:val="000000" w:themeColor="text1"/>
          <w:szCs w:val="19"/>
        </w:rPr>
        <w:t xml:space="preserve">La remise d’une demande de paiement intervient au début de chaque mois pour les prestations effectuées le mois précédent au fur et à mesure de l'avancement </w:t>
      </w:r>
      <w:r w:rsidR="00282530">
        <w:rPr>
          <w:rFonts w:cs="Arial"/>
          <w:color w:val="000000" w:themeColor="text1"/>
          <w:szCs w:val="19"/>
        </w:rPr>
        <w:t>de chacune des phases</w:t>
      </w:r>
      <w:r w:rsidRPr="005C10CA">
        <w:rPr>
          <w:rFonts w:cs="Arial"/>
          <w:color w:val="000000" w:themeColor="text1"/>
          <w:szCs w:val="19"/>
        </w:rPr>
        <w:t>, en application de l’article 11.5</w:t>
      </w:r>
      <w:r w:rsidR="00B66877" w:rsidRPr="005C10CA">
        <w:rPr>
          <w:rFonts w:cs="Arial"/>
          <w:color w:val="000000" w:themeColor="text1"/>
          <w:szCs w:val="19"/>
        </w:rPr>
        <w:t>.1</w:t>
      </w:r>
      <w:r w:rsidRPr="005C10CA">
        <w:rPr>
          <w:rFonts w:cs="Arial"/>
          <w:color w:val="000000" w:themeColor="text1"/>
          <w:szCs w:val="19"/>
        </w:rPr>
        <w:t xml:space="preserve"> du CCAG-</w:t>
      </w:r>
      <w:r w:rsidR="00B66877" w:rsidRPr="005C10CA">
        <w:rPr>
          <w:rFonts w:cs="Arial"/>
          <w:color w:val="000000" w:themeColor="text1"/>
          <w:szCs w:val="19"/>
        </w:rPr>
        <w:t>PI</w:t>
      </w:r>
      <w:r w:rsidRPr="005C10CA">
        <w:rPr>
          <w:rFonts w:cs="Arial"/>
          <w:color w:val="000000" w:themeColor="text1"/>
          <w:szCs w:val="19"/>
        </w:rPr>
        <w:t xml:space="preserve"> et conformément aux articles R. 2191-21 et R. 2191-22 du code de la commande publique, dans la limite de l'échéancier ci-dessous.</w:t>
      </w:r>
    </w:p>
    <w:tbl>
      <w:tblPr>
        <w:tblW w:w="10348"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80"/>
        <w:gridCol w:w="5768"/>
      </w:tblGrid>
      <w:tr w:rsidR="006D1939" w:rsidRPr="005C10CA" w14:paraId="1962A687" w14:textId="77777777" w:rsidTr="005130B2">
        <w:trPr>
          <w:trHeight w:val="284"/>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14:paraId="7DC8CB4F" w14:textId="2BC40C51" w:rsidR="006D1939" w:rsidRPr="005C10CA" w:rsidRDefault="00282530" w:rsidP="005130B2">
            <w:pPr>
              <w:tabs>
                <w:tab w:val="left" w:pos="720"/>
                <w:tab w:val="left" w:pos="1260"/>
                <w:tab w:val="left" w:pos="1440"/>
                <w:tab w:val="left" w:pos="1800"/>
              </w:tabs>
              <w:spacing w:after="0" w:line="240" w:lineRule="auto"/>
              <w:jc w:val="both"/>
              <w:rPr>
                <w:rFonts w:cs="Arial"/>
                <w:b/>
                <w:bCs/>
                <w:color w:val="000000" w:themeColor="text1"/>
                <w:szCs w:val="19"/>
              </w:rPr>
            </w:pPr>
            <w:r>
              <w:rPr>
                <w:rFonts w:cs="Arial"/>
                <w:b/>
                <w:bCs/>
                <w:color w:val="000000" w:themeColor="text1"/>
                <w:szCs w:val="19"/>
              </w:rPr>
              <w:t>Phases</w:t>
            </w:r>
            <w:r w:rsidR="006D1939" w:rsidRPr="005C10CA">
              <w:rPr>
                <w:rFonts w:cs="Arial"/>
                <w:b/>
                <w:bCs/>
                <w:color w:val="000000" w:themeColor="text1"/>
                <w:szCs w:val="19"/>
              </w:rPr>
              <w:t xml:space="preserve"> </w:t>
            </w:r>
          </w:p>
        </w:tc>
        <w:tc>
          <w:tcPr>
            <w:tcW w:w="5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C9BD3" w14:textId="77777777" w:rsidR="006D1939" w:rsidRPr="005C10CA" w:rsidRDefault="006D1939" w:rsidP="005130B2">
            <w:pPr>
              <w:tabs>
                <w:tab w:val="left" w:pos="720"/>
                <w:tab w:val="left" w:pos="1260"/>
                <w:tab w:val="left" w:pos="1440"/>
                <w:tab w:val="left" w:pos="1800"/>
              </w:tabs>
              <w:spacing w:after="0" w:line="240" w:lineRule="auto"/>
              <w:jc w:val="both"/>
              <w:rPr>
                <w:rFonts w:cs="Arial"/>
                <w:b/>
                <w:bCs/>
                <w:color w:val="000000" w:themeColor="text1"/>
                <w:szCs w:val="19"/>
              </w:rPr>
            </w:pPr>
            <w:r w:rsidRPr="005C10CA">
              <w:rPr>
                <w:rFonts w:cs="Arial"/>
                <w:b/>
                <w:bCs/>
                <w:color w:val="000000" w:themeColor="text1"/>
                <w:szCs w:val="19"/>
              </w:rPr>
              <w:t>Exigibilité de l'acompte</w:t>
            </w:r>
          </w:p>
        </w:tc>
      </w:tr>
      <w:tr w:rsidR="006D1939" w:rsidRPr="005C10CA" w14:paraId="328D9427" w14:textId="77777777" w:rsidTr="005130B2">
        <w:trPr>
          <w:trHeight w:val="284"/>
        </w:trPr>
        <w:tc>
          <w:tcPr>
            <w:tcW w:w="4580"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75A734E9" w14:textId="0614C2B0" w:rsidR="006D1939" w:rsidRPr="005C10CA" w:rsidRDefault="00B66877" w:rsidP="005130B2">
            <w:pPr>
              <w:tabs>
                <w:tab w:val="left" w:pos="720"/>
                <w:tab w:val="left" w:pos="1260"/>
                <w:tab w:val="left" w:pos="1440"/>
                <w:tab w:val="left" w:pos="1800"/>
              </w:tabs>
              <w:spacing w:after="0" w:line="240" w:lineRule="auto"/>
              <w:jc w:val="both"/>
              <w:rPr>
                <w:rFonts w:cs="Arial"/>
                <w:color w:val="000000" w:themeColor="text1"/>
                <w:szCs w:val="19"/>
              </w:rPr>
            </w:pPr>
            <w:r w:rsidRPr="005C10CA">
              <w:rPr>
                <w:rFonts w:cs="Arial"/>
                <w:color w:val="000000" w:themeColor="text1"/>
                <w:szCs w:val="19"/>
              </w:rPr>
              <w:t>Phase 1</w:t>
            </w:r>
            <w:r w:rsidR="006D1939" w:rsidRPr="005C10CA">
              <w:rPr>
                <w:rFonts w:cs="Arial"/>
                <w:color w:val="000000" w:themeColor="text1"/>
                <w:szCs w:val="19"/>
              </w:rPr>
              <w:t> </w:t>
            </w:r>
          </w:p>
        </w:tc>
        <w:tc>
          <w:tcPr>
            <w:tcW w:w="5768" w:type="dxa"/>
            <w:tcBorders>
              <w:top w:val="single" w:sz="4" w:space="0" w:color="auto"/>
              <w:left w:val="single" w:sz="6" w:space="0" w:color="auto"/>
              <w:bottom w:val="single" w:sz="6" w:space="0" w:color="auto"/>
              <w:right w:val="single" w:sz="4" w:space="0" w:color="auto"/>
            </w:tcBorders>
            <w:shd w:val="clear" w:color="auto" w:fill="FFFFFF" w:themeFill="background1"/>
            <w:vAlign w:val="center"/>
          </w:tcPr>
          <w:p w14:paraId="2AA5B7EC" w14:textId="23387D48" w:rsidR="006D1939" w:rsidRPr="005C10CA" w:rsidRDefault="006D1939" w:rsidP="005130B2">
            <w:pPr>
              <w:tabs>
                <w:tab w:val="left" w:pos="720"/>
                <w:tab w:val="left" w:pos="1260"/>
                <w:tab w:val="left" w:pos="1440"/>
                <w:tab w:val="left" w:pos="1800"/>
              </w:tabs>
              <w:spacing w:after="0" w:line="240" w:lineRule="auto"/>
              <w:jc w:val="both"/>
              <w:rPr>
                <w:rFonts w:cs="Arial"/>
                <w:color w:val="000000" w:themeColor="text1"/>
                <w:szCs w:val="19"/>
              </w:rPr>
            </w:pPr>
            <w:r w:rsidRPr="005C10CA">
              <w:rPr>
                <w:rFonts w:cs="Arial"/>
                <w:color w:val="000000" w:themeColor="text1"/>
                <w:szCs w:val="19"/>
              </w:rPr>
              <w:t xml:space="preserve">80% à la remise </w:t>
            </w:r>
            <w:r w:rsidR="002051EB">
              <w:rPr>
                <w:rFonts w:cs="Arial"/>
                <w:color w:val="000000" w:themeColor="text1"/>
                <w:szCs w:val="19"/>
              </w:rPr>
              <w:t>des livrables de la phase</w:t>
            </w:r>
          </w:p>
        </w:tc>
      </w:tr>
      <w:tr w:rsidR="006D1939" w:rsidRPr="005C10CA" w14:paraId="5E965E39" w14:textId="77777777" w:rsidTr="005130B2">
        <w:trPr>
          <w:trHeight w:val="195"/>
        </w:trPr>
        <w:tc>
          <w:tcPr>
            <w:tcW w:w="4580" w:type="dxa"/>
            <w:vMerge/>
            <w:tcBorders>
              <w:top w:val="single" w:sz="6" w:space="0" w:color="auto"/>
              <w:left w:val="single" w:sz="4" w:space="0" w:color="auto"/>
              <w:bottom w:val="single" w:sz="6" w:space="0" w:color="auto"/>
              <w:right w:val="single" w:sz="6" w:space="0" w:color="auto"/>
            </w:tcBorders>
            <w:shd w:val="clear" w:color="auto" w:fill="auto"/>
            <w:vAlign w:val="center"/>
          </w:tcPr>
          <w:p w14:paraId="7C797794" w14:textId="77777777" w:rsidR="006D1939" w:rsidRPr="005C10CA" w:rsidRDefault="006D1939" w:rsidP="005130B2">
            <w:pPr>
              <w:tabs>
                <w:tab w:val="left" w:pos="720"/>
                <w:tab w:val="left" w:pos="1260"/>
                <w:tab w:val="left" w:pos="1440"/>
                <w:tab w:val="left" w:pos="1800"/>
              </w:tabs>
              <w:spacing w:after="0" w:line="240" w:lineRule="auto"/>
              <w:jc w:val="both"/>
              <w:rPr>
                <w:rFonts w:cs="Arial"/>
                <w:color w:val="000000" w:themeColor="text1"/>
                <w:szCs w:val="19"/>
              </w:rPr>
            </w:pPr>
          </w:p>
        </w:tc>
        <w:tc>
          <w:tcPr>
            <w:tcW w:w="5768"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AED59AE" w14:textId="53FA1DAA" w:rsidR="006D1939" w:rsidRPr="005C10CA" w:rsidRDefault="006D1939" w:rsidP="005130B2">
            <w:pPr>
              <w:tabs>
                <w:tab w:val="left" w:pos="720"/>
                <w:tab w:val="left" w:pos="1260"/>
                <w:tab w:val="left" w:pos="1440"/>
                <w:tab w:val="left" w:pos="1800"/>
              </w:tabs>
              <w:spacing w:after="0" w:line="240" w:lineRule="auto"/>
              <w:jc w:val="both"/>
              <w:rPr>
                <w:rFonts w:cs="Arial"/>
                <w:color w:val="000000" w:themeColor="text1"/>
                <w:szCs w:val="19"/>
              </w:rPr>
            </w:pPr>
            <w:r w:rsidRPr="005C10CA">
              <w:rPr>
                <w:rFonts w:cs="Arial"/>
                <w:color w:val="000000" w:themeColor="text1"/>
                <w:szCs w:val="19"/>
              </w:rPr>
              <w:t xml:space="preserve">20% à l'admission </w:t>
            </w:r>
            <w:r w:rsidR="000134EF" w:rsidRPr="005C10CA">
              <w:rPr>
                <w:rFonts w:cs="Arial"/>
                <w:color w:val="000000" w:themeColor="text1"/>
                <w:szCs w:val="19"/>
              </w:rPr>
              <w:t>par l’acheteur</w:t>
            </w:r>
          </w:p>
        </w:tc>
      </w:tr>
      <w:tr w:rsidR="006D1939" w:rsidRPr="005C10CA" w14:paraId="77837A17" w14:textId="77777777" w:rsidTr="005130B2">
        <w:trPr>
          <w:trHeight w:val="284"/>
        </w:trPr>
        <w:tc>
          <w:tcPr>
            <w:tcW w:w="4580" w:type="dxa"/>
            <w:vMerge w:val="restart"/>
            <w:tcBorders>
              <w:top w:val="single" w:sz="6" w:space="0" w:color="auto"/>
              <w:left w:val="single" w:sz="4" w:space="0" w:color="auto"/>
              <w:bottom w:val="single" w:sz="6" w:space="0" w:color="auto"/>
              <w:right w:val="single" w:sz="6" w:space="0" w:color="auto"/>
            </w:tcBorders>
            <w:shd w:val="clear" w:color="auto" w:fill="auto"/>
            <w:vAlign w:val="center"/>
          </w:tcPr>
          <w:p w14:paraId="49A98DC5" w14:textId="643415E3" w:rsidR="006D1939" w:rsidRPr="005C10CA" w:rsidRDefault="00B66877" w:rsidP="005130B2">
            <w:pPr>
              <w:tabs>
                <w:tab w:val="left" w:pos="720"/>
                <w:tab w:val="left" w:pos="1260"/>
                <w:tab w:val="left" w:pos="1440"/>
                <w:tab w:val="left" w:pos="1800"/>
              </w:tabs>
              <w:spacing w:after="0" w:line="240" w:lineRule="auto"/>
              <w:jc w:val="both"/>
              <w:rPr>
                <w:rFonts w:cs="Arial"/>
                <w:color w:val="000000" w:themeColor="text1"/>
                <w:szCs w:val="19"/>
              </w:rPr>
            </w:pPr>
            <w:r w:rsidRPr="005C10CA">
              <w:rPr>
                <w:rFonts w:cs="Arial"/>
                <w:color w:val="000000" w:themeColor="text1"/>
                <w:szCs w:val="19"/>
              </w:rPr>
              <w:t>Phase 2</w:t>
            </w:r>
          </w:p>
        </w:tc>
        <w:tc>
          <w:tcPr>
            <w:tcW w:w="5768"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8B088F9" w14:textId="30D55613" w:rsidR="006D1939" w:rsidRPr="005C10CA" w:rsidRDefault="006D1939" w:rsidP="005130B2">
            <w:pPr>
              <w:tabs>
                <w:tab w:val="left" w:pos="720"/>
                <w:tab w:val="left" w:pos="1260"/>
                <w:tab w:val="left" w:pos="1440"/>
                <w:tab w:val="left" w:pos="1800"/>
              </w:tabs>
              <w:spacing w:after="0" w:line="240" w:lineRule="auto"/>
              <w:jc w:val="both"/>
              <w:rPr>
                <w:rFonts w:cs="Arial"/>
                <w:color w:val="000000" w:themeColor="text1"/>
                <w:szCs w:val="19"/>
              </w:rPr>
            </w:pPr>
            <w:r w:rsidRPr="005C10CA">
              <w:rPr>
                <w:rFonts w:cs="Arial"/>
                <w:color w:val="000000" w:themeColor="text1"/>
                <w:szCs w:val="19"/>
              </w:rPr>
              <w:t xml:space="preserve">80% à la remise </w:t>
            </w:r>
            <w:r w:rsidR="0058246D">
              <w:rPr>
                <w:rFonts w:cs="Arial"/>
                <w:color w:val="000000" w:themeColor="text1"/>
                <w:szCs w:val="19"/>
              </w:rPr>
              <w:t>des livrables de la phase</w:t>
            </w:r>
          </w:p>
        </w:tc>
      </w:tr>
      <w:tr w:rsidR="006D1939" w:rsidRPr="005C10CA" w14:paraId="71682575" w14:textId="77777777" w:rsidTr="005130B2">
        <w:trPr>
          <w:trHeight w:val="75"/>
        </w:trPr>
        <w:tc>
          <w:tcPr>
            <w:tcW w:w="4580" w:type="dxa"/>
            <w:vMerge/>
            <w:tcBorders>
              <w:top w:val="single" w:sz="6" w:space="0" w:color="auto"/>
              <w:left w:val="single" w:sz="4" w:space="0" w:color="auto"/>
              <w:bottom w:val="single" w:sz="6" w:space="0" w:color="auto"/>
              <w:right w:val="single" w:sz="6" w:space="0" w:color="auto"/>
            </w:tcBorders>
            <w:shd w:val="clear" w:color="auto" w:fill="auto"/>
            <w:vAlign w:val="center"/>
          </w:tcPr>
          <w:p w14:paraId="09EFC90F" w14:textId="77777777" w:rsidR="006D1939" w:rsidRPr="005C10CA" w:rsidRDefault="006D1939" w:rsidP="005130B2">
            <w:pPr>
              <w:tabs>
                <w:tab w:val="left" w:pos="720"/>
                <w:tab w:val="left" w:pos="1260"/>
                <w:tab w:val="left" w:pos="1440"/>
                <w:tab w:val="left" w:pos="1800"/>
              </w:tabs>
              <w:spacing w:after="0" w:line="240" w:lineRule="auto"/>
              <w:jc w:val="both"/>
              <w:rPr>
                <w:rFonts w:cs="Arial"/>
                <w:color w:val="000000" w:themeColor="text1"/>
                <w:szCs w:val="19"/>
              </w:rPr>
            </w:pPr>
          </w:p>
        </w:tc>
        <w:tc>
          <w:tcPr>
            <w:tcW w:w="5768"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F00EBF0" w14:textId="0E7A4761" w:rsidR="006D1939" w:rsidRPr="005C10CA" w:rsidRDefault="006D1939" w:rsidP="005130B2">
            <w:pPr>
              <w:tabs>
                <w:tab w:val="left" w:pos="720"/>
                <w:tab w:val="left" w:pos="1260"/>
                <w:tab w:val="left" w:pos="1440"/>
                <w:tab w:val="left" w:pos="1800"/>
              </w:tabs>
              <w:spacing w:after="0" w:line="240" w:lineRule="auto"/>
              <w:jc w:val="both"/>
              <w:rPr>
                <w:rFonts w:cs="Arial"/>
                <w:color w:val="000000" w:themeColor="text1"/>
                <w:szCs w:val="19"/>
              </w:rPr>
            </w:pPr>
            <w:r w:rsidRPr="005C10CA">
              <w:rPr>
                <w:rFonts w:cs="Arial"/>
                <w:color w:val="000000" w:themeColor="text1"/>
                <w:szCs w:val="19"/>
              </w:rPr>
              <w:t xml:space="preserve">20% à l'admission </w:t>
            </w:r>
            <w:r w:rsidR="000134EF" w:rsidRPr="005C10CA">
              <w:rPr>
                <w:rFonts w:cs="Arial"/>
                <w:color w:val="000000" w:themeColor="text1"/>
                <w:szCs w:val="19"/>
              </w:rPr>
              <w:t>par l’acheteur</w:t>
            </w:r>
          </w:p>
        </w:tc>
      </w:tr>
      <w:tr w:rsidR="006D1939" w:rsidRPr="005C10CA" w14:paraId="15C62047" w14:textId="77777777" w:rsidTr="005130B2">
        <w:trPr>
          <w:trHeight w:val="284"/>
        </w:trPr>
        <w:tc>
          <w:tcPr>
            <w:tcW w:w="4580" w:type="dxa"/>
            <w:vMerge w:val="restart"/>
            <w:tcBorders>
              <w:top w:val="single" w:sz="6" w:space="0" w:color="auto"/>
              <w:left w:val="single" w:sz="4" w:space="0" w:color="auto"/>
              <w:bottom w:val="single" w:sz="6" w:space="0" w:color="auto"/>
              <w:right w:val="single" w:sz="6" w:space="0" w:color="auto"/>
            </w:tcBorders>
            <w:shd w:val="clear" w:color="auto" w:fill="auto"/>
            <w:vAlign w:val="center"/>
          </w:tcPr>
          <w:p w14:paraId="07881ADD" w14:textId="4B49739E" w:rsidR="006D1939" w:rsidRPr="005C10CA" w:rsidRDefault="00B66877" w:rsidP="005130B2">
            <w:pPr>
              <w:tabs>
                <w:tab w:val="left" w:pos="720"/>
                <w:tab w:val="left" w:pos="1260"/>
                <w:tab w:val="left" w:pos="1440"/>
                <w:tab w:val="left" w:pos="1800"/>
              </w:tabs>
              <w:spacing w:after="0" w:line="240" w:lineRule="auto"/>
              <w:jc w:val="both"/>
              <w:rPr>
                <w:rFonts w:cs="Arial"/>
                <w:color w:val="000000" w:themeColor="text1"/>
                <w:szCs w:val="19"/>
              </w:rPr>
            </w:pPr>
            <w:r w:rsidRPr="005C10CA">
              <w:rPr>
                <w:rFonts w:cs="Arial"/>
                <w:color w:val="000000" w:themeColor="text1"/>
                <w:szCs w:val="19"/>
              </w:rPr>
              <w:t>Phase 3</w:t>
            </w:r>
            <w:r w:rsidR="006D1939" w:rsidRPr="005C10CA">
              <w:rPr>
                <w:rFonts w:cs="Arial"/>
                <w:color w:val="000000" w:themeColor="text1"/>
                <w:szCs w:val="19"/>
              </w:rPr>
              <w:t> </w:t>
            </w:r>
          </w:p>
        </w:tc>
        <w:tc>
          <w:tcPr>
            <w:tcW w:w="5768"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B7B5705" w14:textId="18D76323" w:rsidR="006D1939" w:rsidRPr="005C10CA" w:rsidRDefault="006D1939" w:rsidP="005130B2">
            <w:pPr>
              <w:tabs>
                <w:tab w:val="left" w:pos="720"/>
                <w:tab w:val="left" w:pos="1260"/>
                <w:tab w:val="left" w:pos="1440"/>
                <w:tab w:val="left" w:pos="1800"/>
              </w:tabs>
              <w:spacing w:after="0" w:line="240" w:lineRule="auto"/>
              <w:jc w:val="both"/>
              <w:rPr>
                <w:rFonts w:cs="Arial"/>
                <w:color w:val="000000" w:themeColor="text1"/>
                <w:szCs w:val="19"/>
              </w:rPr>
            </w:pPr>
            <w:r w:rsidRPr="005C10CA">
              <w:rPr>
                <w:rFonts w:cs="Arial"/>
                <w:color w:val="000000" w:themeColor="text1"/>
                <w:szCs w:val="19"/>
              </w:rPr>
              <w:t xml:space="preserve">80% à la remise </w:t>
            </w:r>
            <w:r w:rsidR="0058246D">
              <w:rPr>
                <w:rFonts w:cs="Arial"/>
                <w:color w:val="000000" w:themeColor="text1"/>
                <w:szCs w:val="19"/>
              </w:rPr>
              <w:t>des livrables</w:t>
            </w:r>
          </w:p>
        </w:tc>
      </w:tr>
      <w:tr w:rsidR="006D1939" w:rsidRPr="005C10CA" w14:paraId="61924BCD" w14:textId="77777777" w:rsidTr="005130B2">
        <w:trPr>
          <w:trHeight w:val="45"/>
        </w:trPr>
        <w:tc>
          <w:tcPr>
            <w:tcW w:w="4580" w:type="dxa"/>
            <w:vMerge/>
            <w:tcBorders>
              <w:top w:val="single" w:sz="6" w:space="0" w:color="auto"/>
              <w:left w:val="single" w:sz="4" w:space="0" w:color="auto"/>
              <w:bottom w:val="single" w:sz="6" w:space="0" w:color="auto"/>
              <w:right w:val="single" w:sz="6" w:space="0" w:color="auto"/>
            </w:tcBorders>
            <w:shd w:val="clear" w:color="auto" w:fill="auto"/>
            <w:vAlign w:val="center"/>
          </w:tcPr>
          <w:p w14:paraId="6CD105E1" w14:textId="77777777" w:rsidR="006D1939" w:rsidRPr="005C10CA" w:rsidRDefault="006D1939" w:rsidP="005130B2">
            <w:pPr>
              <w:tabs>
                <w:tab w:val="left" w:pos="720"/>
                <w:tab w:val="left" w:pos="1260"/>
                <w:tab w:val="left" w:pos="1440"/>
                <w:tab w:val="left" w:pos="1800"/>
              </w:tabs>
              <w:spacing w:after="0" w:line="240" w:lineRule="auto"/>
              <w:jc w:val="both"/>
              <w:rPr>
                <w:rFonts w:cs="Arial"/>
                <w:color w:val="000000" w:themeColor="text1"/>
                <w:szCs w:val="19"/>
              </w:rPr>
            </w:pPr>
          </w:p>
        </w:tc>
        <w:tc>
          <w:tcPr>
            <w:tcW w:w="5768"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9DB6A85" w14:textId="1C33CB39" w:rsidR="006D1939" w:rsidRPr="005C10CA" w:rsidRDefault="006D1939" w:rsidP="005130B2">
            <w:pPr>
              <w:tabs>
                <w:tab w:val="left" w:pos="720"/>
                <w:tab w:val="left" w:pos="1260"/>
                <w:tab w:val="left" w:pos="1440"/>
                <w:tab w:val="left" w:pos="1800"/>
              </w:tabs>
              <w:spacing w:after="0" w:line="240" w:lineRule="auto"/>
              <w:jc w:val="both"/>
              <w:rPr>
                <w:rFonts w:cs="Arial"/>
                <w:color w:val="000000" w:themeColor="text1"/>
                <w:szCs w:val="19"/>
              </w:rPr>
            </w:pPr>
            <w:r w:rsidRPr="005C10CA">
              <w:rPr>
                <w:rFonts w:cs="Arial"/>
                <w:color w:val="000000" w:themeColor="text1"/>
                <w:szCs w:val="19"/>
              </w:rPr>
              <w:t xml:space="preserve">20% à l'admission </w:t>
            </w:r>
            <w:r w:rsidR="000134EF" w:rsidRPr="005C10CA">
              <w:rPr>
                <w:rFonts w:cs="Arial"/>
                <w:color w:val="000000" w:themeColor="text1"/>
                <w:szCs w:val="19"/>
              </w:rPr>
              <w:t>par l’acheteur</w:t>
            </w:r>
          </w:p>
        </w:tc>
      </w:tr>
    </w:tbl>
    <w:p w14:paraId="0B7E97D8" w14:textId="77777777" w:rsidR="00B66877" w:rsidRPr="005C10CA" w:rsidRDefault="00B66877" w:rsidP="006D1939">
      <w:pPr>
        <w:pStyle w:val="Titre5"/>
      </w:pPr>
      <w:bookmarkStart w:id="40" w:name="_Toc528596422"/>
      <w:bookmarkStart w:id="41" w:name="_Toc19261850"/>
      <w:bookmarkStart w:id="42" w:name="_Toc73013668"/>
    </w:p>
    <w:p w14:paraId="5AFAF95D" w14:textId="3DE24B73" w:rsidR="006D1939" w:rsidRPr="005C10CA" w:rsidRDefault="006D1939" w:rsidP="006D1939">
      <w:pPr>
        <w:pStyle w:val="Titre5"/>
      </w:pPr>
      <w:r w:rsidRPr="005C10CA">
        <w:t xml:space="preserve">Article </w:t>
      </w:r>
      <w:r w:rsidR="007B6ABE">
        <w:t>8</w:t>
      </w:r>
      <w:r w:rsidRPr="005C10CA">
        <w:t xml:space="preserve">.2.2 – Acceptation de la demande de paiement par </w:t>
      </w:r>
      <w:bookmarkEnd w:id="40"/>
      <w:bookmarkEnd w:id="41"/>
      <w:bookmarkEnd w:id="42"/>
      <w:r w:rsidR="000134EF" w:rsidRPr="005C10CA">
        <w:t>l’acheteur</w:t>
      </w:r>
    </w:p>
    <w:p w14:paraId="693D425E" w14:textId="6894A517" w:rsidR="006D1939" w:rsidRPr="005C10CA" w:rsidRDefault="006D1939" w:rsidP="006D1939">
      <w:pPr>
        <w:rPr>
          <w:color w:val="000000" w:themeColor="text1"/>
        </w:rPr>
      </w:pPr>
      <w:r w:rsidRPr="005C10CA">
        <w:rPr>
          <w:color w:val="000000" w:themeColor="text1"/>
        </w:rPr>
        <w:t>Il est fait application de l’article 11.6 du CCAG-</w:t>
      </w:r>
      <w:r w:rsidR="00084450" w:rsidRPr="005C10CA">
        <w:rPr>
          <w:color w:val="000000" w:themeColor="text1"/>
        </w:rPr>
        <w:t>PI</w:t>
      </w:r>
      <w:r w:rsidRPr="005C10CA">
        <w:rPr>
          <w:color w:val="000000" w:themeColor="text1"/>
        </w:rPr>
        <w:t>.</w:t>
      </w:r>
    </w:p>
    <w:p w14:paraId="6E280B54" w14:textId="089B0A51" w:rsidR="006D1939" w:rsidRPr="005C10CA" w:rsidRDefault="006D1939" w:rsidP="006D1939">
      <w:pPr>
        <w:pStyle w:val="Titre4"/>
      </w:pPr>
      <w:bookmarkStart w:id="43" w:name="_Toc525573676"/>
      <w:bookmarkStart w:id="44" w:name="_Toc528596423"/>
      <w:bookmarkStart w:id="45" w:name="_Toc19261851"/>
      <w:bookmarkStart w:id="46" w:name="_Toc73013669"/>
      <w:r w:rsidRPr="005C10CA">
        <w:t xml:space="preserve">Article </w:t>
      </w:r>
      <w:r w:rsidR="007B6ABE">
        <w:t>8</w:t>
      </w:r>
      <w:r w:rsidRPr="005C10CA">
        <w:t xml:space="preserve">.3 – </w:t>
      </w:r>
      <w:bookmarkEnd w:id="43"/>
      <w:r w:rsidRPr="005C10CA">
        <w:t>Demande de paiement pour solde</w:t>
      </w:r>
      <w:bookmarkEnd w:id="44"/>
      <w:bookmarkEnd w:id="45"/>
      <w:bookmarkEnd w:id="46"/>
    </w:p>
    <w:p w14:paraId="20C0A2B9" w14:textId="0BCE564C" w:rsidR="00CB5A81" w:rsidRPr="005C10CA" w:rsidRDefault="00CB5A81" w:rsidP="00CB5A81">
      <w:pPr>
        <w:rPr>
          <w:color w:val="000000" w:themeColor="text1"/>
        </w:rPr>
      </w:pPr>
      <w:bookmarkStart w:id="47" w:name="_Toc528596424"/>
      <w:bookmarkStart w:id="48" w:name="_Toc19261852"/>
      <w:bookmarkStart w:id="49" w:name="_Toc73013670"/>
      <w:r w:rsidRPr="005C10CA">
        <w:rPr>
          <w:color w:val="000000" w:themeColor="text1"/>
        </w:rPr>
        <w:t xml:space="preserve">Dans les 30 jours suivant l’admission des prestations de la phase 3, </w:t>
      </w:r>
      <w:r w:rsidRPr="00CB5A81">
        <w:rPr>
          <w:color w:val="000000" w:themeColor="text1"/>
        </w:rPr>
        <w:t xml:space="preserve">le titulaire </w:t>
      </w:r>
      <w:r w:rsidRPr="005C10CA">
        <w:rPr>
          <w:color w:val="000000" w:themeColor="text1"/>
        </w:rPr>
        <w:t>transmet</w:t>
      </w:r>
      <w:r w:rsidRPr="00CB5A81">
        <w:rPr>
          <w:color w:val="000000" w:themeColor="text1"/>
        </w:rPr>
        <w:t xml:space="preserve"> à </w:t>
      </w:r>
      <w:r w:rsidRPr="005C10CA">
        <w:rPr>
          <w:color w:val="000000" w:themeColor="text1"/>
        </w:rPr>
        <w:t>l’acheteur un</w:t>
      </w:r>
      <w:r w:rsidRPr="00CB5A81">
        <w:rPr>
          <w:color w:val="000000" w:themeColor="text1"/>
        </w:rPr>
        <w:t xml:space="preserve"> projet de décompte dans les conditions de l'article 11</w:t>
      </w:r>
      <w:r w:rsidRPr="005C10CA">
        <w:rPr>
          <w:color w:val="000000" w:themeColor="text1"/>
        </w:rPr>
        <w:t xml:space="preserve">.7 </w:t>
      </w:r>
      <w:r w:rsidRPr="00CB5A81">
        <w:rPr>
          <w:color w:val="000000" w:themeColor="text1"/>
        </w:rPr>
        <w:t xml:space="preserve">du CCAG-PI. </w:t>
      </w:r>
    </w:p>
    <w:p w14:paraId="4AB8C66B" w14:textId="32154368" w:rsidR="00CB5A81" w:rsidRPr="005C10CA" w:rsidRDefault="00CB5A81" w:rsidP="00CB5A81">
      <w:pPr>
        <w:rPr>
          <w:color w:val="000000" w:themeColor="text1"/>
        </w:rPr>
      </w:pPr>
      <w:r w:rsidRPr="005C10CA">
        <w:rPr>
          <w:color w:val="000000" w:themeColor="text1"/>
        </w:rPr>
        <w:t>Le projet de décompte inclut :</w:t>
      </w:r>
    </w:p>
    <w:p w14:paraId="74C7B54F" w14:textId="1256DD62" w:rsidR="00CB5A81" w:rsidRPr="005C10CA" w:rsidRDefault="00CB5A81" w:rsidP="00CB5A81">
      <w:pPr>
        <w:pStyle w:val="Paragraphedeliste"/>
        <w:numPr>
          <w:ilvl w:val="0"/>
          <w:numId w:val="41"/>
        </w:numPr>
        <w:rPr>
          <w:color w:val="000000" w:themeColor="text1"/>
        </w:rPr>
      </w:pPr>
      <w:r w:rsidRPr="005C10CA">
        <w:rPr>
          <w:color w:val="000000" w:themeColor="text1"/>
        </w:rPr>
        <w:t>le montant du forfait de rémunération ;</w:t>
      </w:r>
    </w:p>
    <w:p w14:paraId="7813CB9F" w14:textId="77777777" w:rsidR="00CB5A81" w:rsidRPr="005C10CA" w:rsidRDefault="00CB5A81" w:rsidP="00CB5A81">
      <w:pPr>
        <w:pStyle w:val="Paragraphedeliste"/>
        <w:numPr>
          <w:ilvl w:val="0"/>
          <w:numId w:val="41"/>
        </w:numPr>
        <w:tabs>
          <w:tab w:val="left" w:pos="720"/>
          <w:tab w:val="left" w:pos="1080"/>
        </w:tabs>
        <w:jc w:val="both"/>
        <w:rPr>
          <w:rFonts w:cs="Arial"/>
          <w:color w:val="000000" w:themeColor="text1"/>
          <w:szCs w:val="19"/>
        </w:rPr>
      </w:pPr>
      <w:r w:rsidRPr="005C10CA">
        <w:rPr>
          <w:rFonts w:cs="Arial"/>
          <w:color w:val="000000" w:themeColor="text1"/>
          <w:szCs w:val="19"/>
        </w:rPr>
        <w:t>le montant des prestations complémentaires et modificatives ;</w:t>
      </w:r>
    </w:p>
    <w:p w14:paraId="4E6B71F1" w14:textId="77777777" w:rsidR="00CB5A81" w:rsidRPr="005C10CA" w:rsidRDefault="00CB5A81" w:rsidP="00CB5A81">
      <w:pPr>
        <w:pStyle w:val="Paragraphedeliste"/>
        <w:numPr>
          <w:ilvl w:val="0"/>
          <w:numId w:val="41"/>
        </w:numPr>
        <w:tabs>
          <w:tab w:val="left" w:pos="720"/>
          <w:tab w:val="left" w:pos="1080"/>
        </w:tabs>
        <w:jc w:val="both"/>
        <w:rPr>
          <w:rFonts w:cs="Arial"/>
          <w:color w:val="000000" w:themeColor="text1"/>
          <w:szCs w:val="19"/>
        </w:rPr>
      </w:pPr>
      <w:r w:rsidRPr="005C10CA">
        <w:rPr>
          <w:rFonts w:cs="Arial"/>
          <w:color w:val="000000" w:themeColor="text1"/>
          <w:szCs w:val="19"/>
        </w:rPr>
        <w:t>le récapitulatif des sommes perçues au titre des acomptes ;</w:t>
      </w:r>
    </w:p>
    <w:p w14:paraId="043FDA0B" w14:textId="77777777" w:rsidR="00CB5A81" w:rsidRPr="005C10CA" w:rsidRDefault="00CB5A81" w:rsidP="00CB5A81">
      <w:pPr>
        <w:pStyle w:val="Paragraphedeliste"/>
        <w:numPr>
          <w:ilvl w:val="0"/>
          <w:numId w:val="41"/>
        </w:numPr>
        <w:tabs>
          <w:tab w:val="left" w:pos="720"/>
          <w:tab w:val="left" w:pos="1080"/>
        </w:tabs>
        <w:jc w:val="both"/>
        <w:rPr>
          <w:rFonts w:cs="Arial"/>
          <w:color w:val="000000" w:themeColor="text1"/>
          <w:szCs w:val="19"/>
        </w:rPr>
      </w:pPr>
      <w:r w:rsidRPr="005C10CA">
        <w:rPr>
          <w:rFonts w:cs="Arial"/>
          <w:color w:val="000000" w:themeColor="text1"/>
          <w:szCs w:val="19"/>
        </w:rPr>
        <w:t>le montant des révisions de prix applicables intégrant le dernier état des index connus à la date d’établissement du projet de décompte final ;</w:t>
      </w:r>
    </w:p>
    <w:p w14:paraId="209C7AC4" w14:textId="47E05DCA" w:rsidR="00CB5A81" w:rsidRPr="005C10CA" w:rsidRDefault="00CB5A81" w:rsidP="00CB5A81">
      <w:pPr>
        <w:pStyle w:val="Paragraphedeliste"/>
        <w:numPr>
          <w:ilvl w:val="0"/>
          <w:numId w:val="41"/>
        </w:numPr>
        <w:tabs>
          <w:tab w:val="left" w:pos="720"/>
          <w:tab w:val="left" w:pos="1080"/>
        </w:tabs>
        <w:jc w:val="both"/>
        <w:rPr>
          <w:rFonts w:cs="Arial"/>
          <w:color w:val="000000" w:themeColor="text1"/>
          <w:szCs w:val="19"/>
        </w:rPr>
      </w:pPr>
      <w:r w:rsidRPr="005C10CA">
        <w:rPr>
          <w:rFonts w:cs="Arial"/>
          <w:color w:val="000000" w:themeColor="text1"/>
          <w:szCs w:val="19"/>
        </w:rPr>
        <w:t>le montant des pénalités appliquées par l’acheteur et acceptées par le titulaire ;</w:t>
      </w:r>
    </w:p>
    <w:p w14:paraId="2E1E6F78" w14:textId="77777777" w:rsidR="00CB5A81" w:rsidRPr="005C10CA" w:rsidRDefault="00CB5A81" w:rsidP="00CB5A81">
      <w:pPr>
        <w:pStyle w:val="Paragraphedeliste"/>
        <w:numPr>
          <w:ilvl w:val="0"/>
          <w:numId w:val="41"/>
        </w:numPr>
        <w:tabs>
          <w:tab w:val="left" w:pos="720"/>
          <w:tab w:val="left" w:pos="1080"/>
        </w:tabs>
        <w:jc w:val="both"/>
        <w:rPr>
          <w:rFonts w:cs="Arial"/>
          <w:color w:val="000000" w:themeColor="text1"/>
          <w:szCs w:val="19"/>
        </w:rPr>
      </w:pPr>
      <w:r w:rsidRPr="005C10CA">
        <w:rPr>
          <w:rFonts w:cs="Arial"/>
          <w:color w:val="000000" w:themeColor="text1"/>
          <w:szCs w:val="19"/>
        </w:rPr>
        <w:t>le montant des éventuelles réclamations non régularisées ;</w:t>
      </w:r>
    </w:p>
    <w:p w14:paraId="07739FC0" w14:textId="77777777" w:rsidR="00CB5A81" w:rsidRPr="005C10CA" w:rsidRDefault="00CB5A81" w:rsidP="00CB5A81">
      <w:pPr>
        <w:pStyle w:val="Paragraphedeliste"/>
        <w:numPr>
          <w:ilvl w:val="0"/>
          <w:numId w:val="41"/>
        </w:numPr>
        <w:tabs>
          <w:tab w:val="left" w:pos="720"/>
          <w:tab w:val="left" w:pos="1080"/>
        </w:tabs>
        <w:jc w:val="both"/>
        <w:rPr>
          <w:rFonts w:cs="Arial"/>
          <w:color w:val="000000" w:themeColor="text1"/>
          <w:szCs w:val="19"/>
        </w:rPr>
      </w:pPr>
      <w:r w:rsidRPr="005C10CA">
        <w:rPr>
          <w:rFonts w:cs="Arial"/>
          <w:color w:val="000000" w:themeColor="text1"/>
          <w:szCs w:val="19"/>
        </w:rPr>
        <w:t xml:space="preserve">le solde, distinguant l’incidence de la TVA. </w:t>
      </w:r>
    </w:p>
    <w:p w14:paraId="48318004" w14:textId="192F4928" w:rsidR="00CB5A81" w:rsidRPr="005C10CA" w:rsidRDefault="00CB5A81" w:rsidP="00CB5A81">
      <w:pPr>
        <w:rPr>
          <w:color w:val="000000" w:themeColor="text1"/>
        </w:rPr>
      </w:pPr>
      <w:r w:rsidRPr="005C10CA">
        <w:rPr>
          <w:color w:val="000000" w:themeColor="text1"/>
        </w:rPr>
        <w:t>En cas de contestation sur le montant des sommes dues, l’acheteur règle les sommes qu'il a admises. Après résolution du désaccord, il procède, le cas échéant, au paiement d'un complément, majoré, s'il y a lieu, des intérêts moratoires, courant à compter de la date de la demande présentée par le titulaire.</w:t>
      </w:r>
    </w:p>
    <w:p w14:paraId="62987A63" w14:textId="511BC755" w:rsidR="006D1939" w:rsidRPr="005C10CA" w:rsidRDefault="006D1939" w:rsidP="006D1939">
      <w:pPr>
        <w:pStyle w:val="Titre4"/>
        <w:jc w:val="both"/>
      </w:pPr>
      <w:bookmarkStart w:id="50" w:name="_Toc528596428"/>
      <w:bookmarkEnd w:id="47"/>
      <w:bookmarkEnd w:id="48"/>
      <w:bookmarkEnd w:id="49"/>
      <w:r w:rsidRPr="005C10CA">
        <w:tab/>
      </w:r>
      <w:bookmarkStart w:id="51" w:name="_Toc525573677"/>
      <w:bookmarkStart w:id="52" w:name="_Toc19261856"/>
      <w:bookmarkStart w:id="53" w:name="_Toc73013673"/>
      <w:r w:rsidRPr="005C10CA">
        <w:t xml:space="preserve">Article </w:t>
      </w:r>
      <w:r w:rsidR="007B6ABE">
        <w:t>8</w:t>
      </w:r>
      <w:r w:rsidRPr="005C10CA">
        <w:t>.4 – Délais de paiement</w:t>
      </w:r>
      <w:bookmarkEnd w:id="50"/>
      <w:bookmarkEnd w:id="51"/>
      <w:bookmarkEnd w:id="52"/>
      <w:bookmarkEnd w:id="53"/>
      <w:r w:rsidRPr="005C10CA">
        <w:t xml:space="preserve"> </w:t>
      </w:r>
    </w:p>
    <w:p w14:paraId="0E9C0045" w14:textId="3ABE5003" w:rsidR="006D1939" w:rsidRPr="005C10CA" w:rsidRDefault="006D1939" w:rsidP="006D1939">
      <w:pPr>
        <w:tabs>
          <w:tab w:val="left" w:pos="720"/>
          <w:tab w:val="left" w:pos="1080"/>
        </w:tabs>
        <w:jc w:val="both"/>
        <w:rPr>
          <w:rFonts w:cs="Arial"/>
          <w:color w:val="000000" w:themeColor="text1"/>
          <w:szCs w:val="19"/>
        </w:rPr>
      </w:pPr>
      <w:r w:rsidRPr="005C10CA">
        <w:rPr>
          <w:rFonts w:cs="Arial"/>
          <w:color w:val="000000"/>
          <w:szCs w:val="19"/>
        </w:rPr>
        <w:t xml:space="preserve">Le délai global de paiement des avances, acomptes, soldes et indemnités est fixé à 30 jours (50 jours si le </w:t>
      </w:r>
      <w:r w:rsidR="000134EF" w:rsidRPr="005C10CA">
        <w:rPr>
          <w:rFonts w:cs="Arial"/>
          <w:color w:val="000000"/>
          <w:szCs w:val="19"/>
        </w:rPr>
        <w:t>l’acheteur</w:t>
      </w:r>
      <w:r w:rsidRPr="005C10CA">
        <w:rPr>
          <w:rFonts w:cs="Arial"/>
          <w:color w:val="000000"/>
          <w:szCs w:val="19"/>
        </w:rPr>
        <w:t xml:space="preserve"> est un établissement de santé ou un établissement du service de santé des armées) conformément </w:t>
      </w:r>
      <w:r w:rsidRPr="005C10CA">
        <w:rPr>
          <w:rFonts w:cs="Arial"/>
          <w:color w:val="000000" w:themeColor="text1"/>
          <w:szCs w:val="19"/>
        </w:rPr>
        <w:t>aux articles L. 2192-10 et R. 2192-10 du code de la commande publique.</w:t>
      </w:r>
    </w:p>
    <w:p w14:paraId="11C32033" w14:textId="7C08338A" w:rsidR="006D1939" w:rsidRPr="005C10CA" w:rsidRDefault="006D1939" w:rsidP="006D1939">
      <w:pPr>
        <w:tabs>
          <w:tab w:val="left" w:pos="720"/>
          <w:tab w:val="left" w:pos="1080"/>
        </w:tabs>
        <w:jc w:val="both"/>
        <w:rPr>
          <w:rFonts w:cs="Arial"/>
          <w:szCs w:val="19"/>
        </w:rPr>
      </w:pPr>
      <w:r w:rsidRPr="005C10CA">
        <w:rPr>
          <w:rFonts w:cs="Arial"/>
          <w:szCs w:val="19"/>
        </w:rPr>
        <w:t xml:space="preserve">Le défaut de paiement dans ce délai fait courir de plein droit et sans autre formalité, pour le </w:t>
      </w:r>
      <w:r w:rsidR="000134EF" w:rsidRPr="005C10CA">
        <w:rPr>
          <w:rFonts w:cs="Arial"/>
          <w:szCs w:val="19"/>
        </w:rPr>
        <w:t>titulaire</w:t>
      </w:r>
      <w:r w:rsidRPr="005C10CA">
        <w:rPr>
          <w:rFonts w:cs="Arial"/>
          <w:szCs w:val="19"/>
        </w:rPr>
        <w:t xml:space="preserve"> du marché ou le sous-traitant, des intérêts moratoires, à compter du jour suivant l’expiration du délai. </w:t>
      </w:r>
    </w:p>
    <w:p w14:paraId="1C18DCB1" w14:textId="32F8AA9E" w:rsidR="00D30FAD" w:rsidRPr="005C10CA" w:rsidRDefault="006D1939" w:rsidP="002D233D">
      <w:pPr>
        <w:tabs>
          <w:tab w:val="left" w:pos="720"/>
          <w:tab w:val="left" w:pos="1080"/>
        </w:tabs>
        <w:jc w:val="both"/>
        <w:rPr>
          <w:rFonts w:cs="Arial"/>
          <w:color w:val="000000" w:themeColor="text1"/>
          <w:szCs w:val="19"/>
        </w:rPr>
      </w:pPr>
      <w:r w:rsidRPr="005C10CA">
        <w:rPr>
          <w:rFonts w:cs="Arial"/>
          <w:color w:val="000000" w:themeColor="text1"/>
          <w:szCs w:val="19"/>
        </w:rPr>
        <w:t xml:space="preserve">Le taux des intérêts moratoires correspond au taux directeur semestriel (taux de refinancement ou </w:t>
      </w:r>
      <w:proofErr w:type="spellStart"/>
      <w:r w:rsidRPr="005C10CA">
        <w:rPr>
          <w:rFonts w:cs="Arial"/>
          <w:color w:val="000000" w:themeColor="text1"/>
          <w:szCs w:val="19"/>
        </w:rPr>
        <w:t>Refi</w:t>
      </w:r>
      <w:proofErr w:type="spellEnd"/>
      <w:r w:rsidRPr="005C10CA">
        <w:rPr>
          <w:rFonts w:cs="Arial"/>
          <w:color w:val="000000" w:themeColor="text1"/>
          <w:szCs w:val="19"/>
        </w:rPr>
        <w:t>) de la Banque centrale européenne (BCE), en vigueur au 1</w:t>
      </w:r>
      <w:r w:rsidRPr="005C10CA">
        <w:rPr>
          <w:rFonts w:cs="Arial"/>
          <w:color w:val="000000" w:themeColor="text1"/>
          <w:szCs w:val="19"/>
          <w:vertAlign w:val="superscript"/>
        </w:rPr>
        <w:t>er</w:t>
      </w:r>
      <w:r w:rsidRPr="005C10CA">
        <w:rPr>
          <w:rFonts w:cs="Arial"/>
          <w:color w:val="000000" w:themeColor="text1"/>
          <w:szCs w:val="19"/>
        </w:rPr>
        <w:t xml:space="preserve"> jour du semestre au cours duquel les intérêts moratoires ont commencé à courir, majoré de 8 points de pourcentage. </w:t>
      </w:r>
    </w:p>
    <w:p w14:paraId="3A29D33D" w14:textId="6824B084" w:rsidR="001463B9" w:rsidRPr="005C10CA" w:rsidRDefault="001463B9" w:rsidP="001463B9">
      <w:pPr>
        <w:pStyle w:val="Titre2"/>
      </w:pPr>
      <w:r w:rsidRPr="005C10CA">
        <w:t xml:space="preserve">article </w:t>
      </w:r>
      <w:r w:rsidR="007B6ABE">
        <w:t>9</w:t>
      </w:r>
      <w:r w:rsidR="00E30B35" w:rsidRPr="005C10CA">
        <w:t xml:space="preserve"> </w:t>
      </w:r>
      <w:r w:rsidRPr="005C10CA">
        <w:t>– PRO</w:t>
      </w:r>
      <w:r w:rsidR="00672227" w:rsidRPr="005C10CA">
        <w:t>pri</w:t>
      </w:r>
      <w:r w:rsidR="00DB18EE" w:rsidRPr="005C10CA">
        <w:t>É</w:t>
      </w:r>
      <w:r w:rsidR="00672227" w:rsidRPr="005C10CA">
        <w:t>t</w:t>
      </w:r>
      <w:r w:rsidR="00DB18EE" w:rsidRPr="005C10CA">
        <w:t>É</w:t>
      </w:r>
      <w:r w:rsidR="00672227" w:rsidRPr="005C10CA">
        <w:t xml:space="preserve"> intellectuelle</w:t>
      </w:r>
      <w:r w:rsidRPr="005C10CA">
        <w:tab/>
      </w:r>
    </w:p>
    <w:p w14:paraId="2BC7C3AA" w14:textId="77777777" w:rsidR="005504A2" w:rsidRPr="005C10CA" w:rsidRDefault="005504A2" w:rsidP="005504A2">
      <w:pPr>
        <w:tabs>
          <w:tab w:val="left" w:pos="720"/>
          <w:tab w:val="left" w:pos="3342"/>
        </w:tabs>
        <w:jc w:val="both"/>
      </w:pPr>
      <w:r w:rsidRPr="005C10CA">
        <w:t xml:space="preserve">Pour les prestations qui aboutissent à des résultats au sens de l’article 32.1 du CCAG-PI et qui peuvent donner lieu à des droits de propriété intellectuelle, il sera fait application des stipulations de l’article 35.2.1 du CCAG-PI. </w:t>
      </w:r>
    </w:p>
    <w:p w14:paraId="23F95485" w14:textId="7C89C571" w:rsidR="00866E15" w:rsidRPr="005C10CA" w:rsidRDefault="00866E15" w:rsidP="00866E15">
      <w:pPr>
        <w:jc w:val="both"/>
        <w:rPr>
          <w:color w:val="000000" w:themeColor="text1"/>
        </w:rPr>
      </w:pPr>
      <w:r w:rsidRPr="005C10CA">
        <w:rPr>
          <w:color w:val="000000" w:themeColor="text1"/>
        </w:rPr>
        <w:t xml:space="preserve">Pour les besoins découlant de l’objet </w:t>
      </w:r>
      <w:r w:rsidR="00E30B35" w:rsidRPr="005C10CA">
        <w:rPr>
          <w:color w:val="000000" w:themeColor="text1"/>
        </w:rPr>
        <w:t>du marché</w:t>
      </w:r>
      <w:r w:rsidRPr="005C10CA">
        <w:rPr>
          <w:color w:val="000000" w:themeColor="text1"/>
        </w:rPr>
        <w:t xml:space="preserve">, le titulaire cède à titre non exclusif à </w:t>
      </w:r>
      <w:r w:rsidR="003D2E6C" w:rsidRPr="005C10CA">
        <w:rPr>
          <w:color w:val="000000" w:themeColor="text1"/>
        </w:rPr>
        <w:t>l’acheteur</w:t>
      </w:r>
      <w:r w:rsidRPr="005C10CA">
        <w:rPr>
          <w:color w:val="000000" w:themeColor="text1"/>
        </w:rPr>
        <w:t> :</w:t>
      </w:r>
    </w:p>
    <w:p w14:paraId="47FBCDDF" w14:textId="79CFA890" w:rsidR="00866E15" w:rsidRPr="005C10CA" w:rsidRDefault="0005473F" w:rsidP="00866E15">
      <w:pPr>
        <w:pStyle w:val="Paragraphedeliste"/>
        <w:numPr>
          <w:ilvl w:val="0"/>
          <w:numId w:val="38"/>
        </w:numPr>
        <w:jc w:val="both"/>
        <w:rPr>
          <w:color w:val="000000" w:themeColor="text1"/>
        </w:rPr>
      </w:pPr>
      <w:r w:rsidRPr="005C10CA">
        <w:rPr>
          <w:color w:val="000000" w:themeColor="text1"/>
        </w:rPr>
        <w:lastRenderedPageBreak/>
        <w:t>a</w:t>
      </w:r>
      <w:r w:rsidR="00866E15" w:rsidRPr="005C10CA">
        <w:rPr>
          <w:color w:val="000000" w:themeColor="text1"/>
        </w:rPr>
        <w:t xml:space="preserve">u titre du droit de reproduction et dans le respect des droits moraux, le droit de reproduire les résultats, en tout ou partie et en l’état, avec la mention du nom du titulaire, par tous procédés et sur tous supports, pour satisfaire les besoins </w:t>
      </w:r>
      <w:r w:rsidR="00E30B35" w:rsidRPr="005C10CA">
        <w:rPr>
          <w:color w:val="000000" w:themeColor="text1"/>
        </w:rPr>
        <w:t>du marché</w:t>
      </w:r>
      <w:r w:rsidR="00866E15" w:rsidRPr="005C10CA">
        <w:rPr>
          <w:color w:val="000000" w:themeColor="text1"/>
        </w:rPr>
        <w:t xml:space="preserve">.  </w:t>
      </w:r>
    </w:p>
    <w:p w14:paraId="1F7089E6" w14:textId="18539B11" w:rsidR="00866E15" w:rsidRPr="005C10CA" w:rsidRDefault="0005473F" w:rsidP="00866E15">
      <w:pPr>
        <w:pStyle w:val="Paragraphedeliste"/>
        <w:numPr>
          <w:ilvl w:val="0"/>
          <w:numId w:val="38"/>
        </w:numPr>
        <w:jc w:val="both"/>
        <w:rPr>
          <w:color w:val="000000" w:themeColor="text1"/>
        </w:rPr>
      </w:pPr>
      <w:r w:rsidRPr="005C10CA">
        <w:rPr>
          <w:color w:val="000000" w:themeColor="text1"/>
        </w:rPr>
        <w:t>a</w:t>
      </w:r>
      <w:r w:rsidR="00866E15" w:rsidRPr="005C10CA">
        <w:rPr>
          <w:color w:val="000000" w:themeColor="text1"/>
        </w:rPr>
        <w:t xml:space="preserve">u titre du droit de représentation et dans le respect des droits moraux, à des fins autres que l’objet </w:t>
      </w:r>
      <w:r w:rsidR="00E30B35" w:rsidRPr="005C10CA">
        <w:rPr>
          <w:color w:val="000000" w:themeColor="text1"/>
        </w:rPr>
        <w:t>du marché</w:t>
      </w:r>
      <w:r w:rsidR="00866E15" w:rsidRPr="005C10CA">
        <w:rPr>
          <w:color w:val="000000" w:themeColor="text1"/>
        </w:rPr>
        <w:t xml:space="preserve">, le droit de communication au public et de mise à disposition du public des résultats, en tout ou partie et en l’état, </w:t>
      </w:r>
      <w:r w:rsidR="002D233D" w:rsidRPr="005C10CA">
        <w:rPr>
          <w:color w:val="000000" w:themeColor="text1"/>
        </w:rPr>
        <w:t xml:space="preserve">avec la mention du nom du titulaire, </w:t>
      </w:r>
      <w:r w:rsidR="00866E15" w:rsidRPr="005C10CA">
        <w:rPr>
          <w:color w:val="000000" w:themeColor="text1"/>
        </w:rPr>
        <w:t xml:space="preserve">par tous moyens, modes et procédés, en vue d’une exploitation à titre non commercial, notamment à des fins d’information et de communication. </w:t>
      </w:r>
    </w:p>
    <w:p w14:paraId="3B66FB92" w14:textId="08B636F5" w:rsidR="00866E15" w:rsidRPr="005C10CA" w:rsidRDefault="00866E15" w:rsidP="00866E15">
      <w:pPr>
        <w:jc w:val="both"/>
        <w:rPr>
          <w:color w:val="000000" w:themeColor="text1"/>
        </w:rPr>
      </w:pPr>
      <w:r w:rsidRPr="005C10CA">
        <w:rPr>
          <w:color w:val="000000" w:themeColor="text1"/>
        </w:rPr>
        <w:t xml:space="preserve">Cette cession des droits couvre les résultats à compter de leur transmission et sous condition résolutoire de l’admission des prestations, dans le monde entier et pour la durée légale des droits d’auteur ou des droits voisins du droit d’auteur. </w:t>
      </w:r>
    </w:p>
    <w:p w14:paraId="0974AEDD" w14:textId="3CD6071D" w:rsidR="00D4230C" w:rsidRPr="005C10CA" w:rsidRDefault="00D4230C" w:rsidP="00D4230C">
      <w:pPr>
        <w:pStyle w:val="Titre2"/>
      </w:pPr>
      <w:r w:rsidRPr="005C10CA">
        <w:t xml:space="preserve">article </w:t>
      </w:r>
      <w:r w:rsidR="007B6ABE">
        <w:t>10</w:t>
      </w:r>
      <w:r w:rsidRPr="005C10CA">
        <w:t xml:space="preserve"> – PROTECTION DES DONN</w:t>
      </w:r>
      <w:r w:rsidR="005504A2" w:rsidRPr="005C10CA">
        <w:t>É</w:t>
      </w:r>
      <w:r w:rsidRPr="005C10CA">
        <w:t>ES PERSONNELLES</w:t>
      </w:r>
      <w:r w:rsidRPr="005C10CA">
        <w:tab/>
      </w:r>
    </w:p>
    <w:p w14:paraId="71998BAC" w14:textId="6F79C5C2" w:rsidR="001463B9" w:rsidRPr="005C10CA" w:rsidRDefault="001463B9" w:rsidP="001463B9">
      <w:pPr>
        <w:tabs>
          <w:tab w:val="left" w:pos="720"/>
          <w:tab w:val="left" w:pos="3342"/>
        </w:tabs>
        <w:jc w:val="both"/>
        <w:rPr>
          <w:bCs/>
        </w:rPr>
      </w:pPr>
      <w:r w:rsidRPr="005C10CA">
        <w:t xml:space="preserve">Dans le cadre de leurs relations contractuelles, </w:t>
      </w:r>
      <w:r w:rsidR="003D2E6C" w:rsidRPr="005C10CA">
        <w:t>l’acheteur</w:t>
      </w:r>
      <w:r w:rsidRPr="005C10CA">
        <w:t xml:space="preserve"> et le </w:t>
      </w:r>
      <w:r w:rsidR="003D2E6C" w:rsidRPr="005C10CA">
        <w:t>titulaire</w:t>
      </w:r>
      <w:r w:rsidRPr="005C10CA">
        <w:t xml:space="preserve"> respectent la réglementation en vigueur applicable au traitement de données à caractère personnel et, en particulier, le </w:t>
      </w:r>
      <w:r w:rsidR="009376A9" w:rsidRPr="005C10CA">
        <w:t>règlement (</w:t>
      </w:r>
      <w:r w:rsidRPr="005C10CA">
        <w:t xml:space="preserve">UE) 2016/679 du Parlement européen et du Conseil du 27 avril 2016, dit RGPD et la </w:t>
      </w:r>
      <w:r w:rsidRPr="005C10CA">
        <w:rPr>
          <w:bCs/>
        </w:rPr>
        <w:t xml:space="preserve">loi n° 78-17 du 6 janvier 1978 relative à l'informatique, aux fichiers et aux libertés. </w:t>
      </w:r>
    </w:p>
    <w:p w14:paraId="2A902E63" w14:textId="5CA49098" w:rsidR="001463B9" w:rsidRPr="005C10CA" w:rsidRDefault="001463B9" w:rsidP="001463B9">
      <w:pPr>
        <w:tabs>
          <w:tab w:val="left" w:pos="720"/>
          <w:tab w:val="left" w:pos="3342"/>
        </w:tabs>
        <w:jc w:val="both"/>
        <w:rPr>
          <w:bCs/>
        </w:rPr>
      </w:pPr>
      <w:r w:rsidRPr="005C10CA">
        <w:rPr>
          <w:bCs/>
        </w:rPr>
        <w:t xml:space="preserve">Le cas échéant, dans le cas où des traitements de données personnelles seraient nécessaires à la réalisation </w:t>
      </w:r>
      <w:r w:rsidR="0005473F" w:rsidRPr="005C10CA">
        <w:rPr>
          <w:bCs/>
        </w:rPr>
        <w:t>des prestations</w:t>
      </w:r>
      <w:r w:rsidRPr="005C10CA">
        <w:rPr>
          <w:bCs/>
        </w:rPr>
        <w:t xml:space="preserve">, les obligations respectives et les modalités de protection des données personnelles sont établies dans l’annexe RPGD jointe au CCP. </w:t>
      </w:r>
    </w:p>
    <w:p w14:paraId="3576A2D6" w14:textId="7DAC612A" w:rsidR="0005473F" w:rsidRPr="005C10CA" w:rsidRDefault="0005473F" w:rsidP="0005473F">
      <w:pPr>
        <w:pStyle w:val="Titre2"/>
      </w:pPr>
      <w:bookmarkStart w:id="54" w:name="_Toc528596446"/>
      <w:bookmarkStart w:id="55" w:name="_Toc19261878"/>
      <w:r w:rsidRPr="005C10CA">
        <w:t>article 1</w:t>
      </w:r>
      <w:r w:rsidR="007B6ABE">
        <w:t>1</w:t>
      </w:r>
      <w:r w:rsidRPr="005C10CA">
        <w:t xml:space="preserve"> – ASSURANCES</w:t>
      </w:r>
      <w:r w:rsidR="00D1699F" w:rsidRPr="005C10CA">
        <w:t xml:space="preserve"> et responsabilitÉ</w:t>
      </w:r>
    </w:p>
    <w:p w14:paraId="22C067BF" w14:textId="77777777" w:rsidR="0005473F" w:rsidRPr="005C10CA" w:rsidRDefault="0005473F" w:rsidP="0005473F">
      <w:pPr>
        <w:tabs>
          <w:tab w:val="left" w:pos="720"/>
          <w:tab w:val="left" w:pos="3342"/>
        </w:tabs>
        <w:jc w:val="both"/>
      </w:pPr>
      <w:r w:rsidRPr="005C10CA">
        <w:t xml:space="preserve">Il est fait application de l’article 9 du CCAG-PI. </w:t>
      </w:r>
    </w:p>
    <w:p w14:paraId="15208F26" w14:textId="7E7C492C" w:rsidR="0005473F" w:rsidRPr="005C10CA" w:rsidRDefault="0005473F" w:rsidP="0005473F">
      <w:pPr>
        <w:tabs>
          <w:tab w:val="left" w:pos="720"/>
          <w:tab w:val="left" w:pos="3342"/>
        </w:tabs>
        <w:jc w:val="both"/>
      </w:pPr>
      <w:r w:rsidRPr="005C10CA">
        <w:t xml:space="preserve">Dans le cas d’un groupement, l’attestation d’assurances de chacun des membres est transmise par le mandataire dans un délai de quinze jours à compter de la notification du marché. </w:t>
      </w:r>
    </w:p>
    <w:p w14:paraId="78504AD4" w14:textId="1D37E89E" w:rsidR="001463B9" w:rsidRPr="005C10CA" w:rsidRDefault="001463B9" w:rsidP="001463B9">
      <w:pPr>
        <w:pStyle w:val="Titre2"/>
      </w:pPr>
      <w:r w:rsidRPr="005C10CA">
        <w:t xml:space="preserve">article </w:t>
      </w:r>
      <w:r w:rsidR="0005473F" w:rsidRPr="005C10CA">
        <w:t>1</w:t>
      </w:r>
      <w:r w:rsidR="007B6ABE">
        <w:t>2</w:t>
      </w:r>
      <w:r w:rsidRPr="005C10CA">
        <w:t xml:space="preserve"> – diffÉrends et rÉsiliation</w:t>
      </w:r>
      <w:bookmarkEnd w:id="54"/>
      <w:bookmarkEnd w:id="55"/>
      <w:r w:rsidRPr="005C10CA">
        <w:tab/>
      </w:r>
    </w:p>
    <w:p w14:paraId="3B539011" w14:textId="2DCC7FCC" w:rsidR="001463B9" w:rsidRPr="005C10CA" w:rsidRDefault="001463B9" w:rsidP="001463B9">
      <w:pPr>
        <w:pStyle w:val="Titre4"/>
      </w:pPr>
      <w:bookmarkStart w:id="56" w:name="_Toc528596447"/>
      <w:bookmarkStart w:id="57" w:name="_Toc19261879"/>
      <w:r w:rsidRPr="005C10CA">
        <w:t>Article 1</w:t>
      </w:r>
      <w:r w:rsidR="007B6ABE">
        <w:t>2</w:t>
      </w:r>
      <w:r w:rsidRPr="005C10CA">
        <w:t>.1 – Formalisme des réclamations</w:t>
      </w:r>
      <w:bookmarkEnd w:id="56"/>
      <w:bookmarkEnd w:id="57"/>
    </w:p>
    <w:p w14:paraId="0FCAA921" w14:textId="20BADB43" w:rsidR="001463B9" w:rsidRPr="005C10CA" w:rsidRDefault="001463B9" w:rsidP="001463B9">
      <w:pPr>
        <w:rPr>
          <w:color w:val="000000" w:themeColor="text1"/>
          <w:shd w:val="clear" w:color="auto" w:fill="FFFFFF"/>
        </w:rPr>
      </w:pPr>
      <w:r w:rsidRPr="005C10CA">
        <w:rPr>
          <w:color w:val="000000" w:themeColor="text1"/>
          <w:shd w:val="clear" w:color="auto" w:fill="FFFFFF"/>
        </w:rPr>
        <w:t xml:space="preserve">Tout différend entre le </w:t>
      </w:r>
      <w:r w:rsidR="00D4230C" w:rsidRPr="005C10CA">
        <w:rPr>
          <w:color w:val="000000" w:themeColor="text1"/>
          <w:shd w:val="clear" w:color="auto" w:fill="FFFFFF"/>
        </w:rPr>
        <w:t xml:space="preserve">titulaire et </w:t>
      </w:r>
      <w:r w:rsidR="003D2E6C" w:rsidRPr="005C10CA">
        <w:rPr>
          <w:color w:val="000000" w:themeColor="text1"/>
          <w:shd w:val="clear" w:color="auto" w:fill="FFFFFF"/>
        </w:rPr>
        <w:t>l’acheteur</w:t>
      </w:r>
      <w:r w:rsidRPr="005C10CA">
        <w:rPr>
          <w:color w:val="000000" w:themeColor="text1"/>
          <w:shd w:val="clear" w:color="auto" w:fill="FFFFFF"/>
        </w:rPr>
        <w:t xml:space="preserve"> fait l’objet, de la part du titulaire, d'une lettre de réclamation exposant les motifs de son désaccord et indiquant, le cas échéant, le montant des sommes réclamées. Cette lettre est communiquée </w:t>
      </w:r>
      <w:r w:rsidR="00D4230C" w:rsidRPr="005C10CA">
        <w:rPr>
          <w:color w:val="000000" w:themeColor="text1"/>
          <w:shd w:val="clear" w:color="auto" w:fill="FFFFFF"/>
        </w:rPr>
        <w:t xml:space="preserve">à </w:t>
      </w:r>
      <w:r w:rsidR="003D2E6C" w:rsidRPr="005C10CA">
        <w:rPr>
          <w:color w:val="000000" w:themeColor="text1"/>
          <w:shd w:val="clear" w:color="auto" w:fill="FFFFFF"/>
        </w:rPr>
        <w:t>l’acheteur</w:t>
      </w:r>
      <w:r w:rsidRPr="005C10CA">
        <w:rPr>
          <w:color w:val="000000" w:themeColor="text1"/>
          <w:shd w:val="clear" w:color="auto" w:fill="FFFFFF"/>
        </w:rPr>
        <w:t xml:space="preserve"> dans le délai de deux mois, courant à compter du jour où le différend est apparu, sous peine de forclusion.</w:t>
      </w:r>
    </w:p>
    <w:p w14:paraId="28099632" w14:textId="77777777" w:rsidR="005504A2" w:rsidRPr="005C10CA" w:rsidRDefault="005504A2" w:rsidP="005504A2">
      <w:pPr>
        <w:rPr>
          <w:color w:val="000000" w:themeColor="text1"/>
          <w:shd w:val="clear" w:color="auto" w:fill="FFFFFF"/>
        </w:rPr>
      </w:pPr>
      <w:r w:rsidRPr="005C10CA">
        <w:rPr>
          <w:color w:val="000000" w:themeColor="text1"/>
          <w:shd w:val="clear" w:color="auto" w:fill="FFFFFF"/>
        </w:rPr>
        <w:t xml:space="preserve">Par dérogation à l’article 43.3 du CCAG-PI, l’acheteur dispose d'un délai d’un mois, courant à compter de la réception du mémoire en réclamation, pour notifier sa décision. </w:t>
      </w:r>
    </w:p>
    <w:p w14:paraId="2E0B44D2" w14:textId="39627360" w:rsidR="001463B9" w:rsidRPr="005C10CA" w:rsidRDefault="001463B9" w:rsidP="001463B9">
      <w:pPr>
        <w:rPr>
          <w:color w:val="000000" w:themeColor="text1"/>
        </w:rPr>
      </w:pPr>
      <w:r w:rsidRPr="005C10CA">
        <w:rPr>
          <w:color w:val="000000" w:themeColor="text1"/>
          <w:shd w:val="clear" w:color="auto" w:fill="FFFFFF"/>
        </w:rPr>
        <w:t xml:space="preserve">L'absence de décision dans ce délai vaut rejet de la réclamation. Le rejet exprès ou tacite de la réclamation ne s’oppose pas à ce que le </w:t>
      </w:r>
      <w:r w:rsidR="00D4230C" w:rsidRPr="005C10CA">
        <w:rPr>
          <w:color w:val="000000" w:themeColor="text1"/>
          <w:shd w:val="clear" w:color="auto" w:fill="FFFFFF"/>
        </w:rPr>
        <w:t>titulaire</w:t>
      </w:r>
      <w:r w:rsidRPr="005C10CA">
        <w:rPr>
          <w:color w:val="000000" w:themeColor="text1"/>
          <w:shd w:val="clear" w:color="auto" w:fill="FFFFFF"/>
        </w:rPr>
        <w:t xml:space="preserve"> réitère sa demande lors de la production du projet de décompte final. </w:t>
      </w:r>
    </w:p>
    <w:p w14:paraId="015C06E2" w14:textId="1A1DC99E" w:rsidR="001463B9" w:rsidRPr="005C10CA" w:rsidRDefault="001463B9" w:rsidP="001463B9">
      <w:pPr>
        <w:pStyle w:val="Titre4"/>
      </w:pPr>
      <w:bookmarkStart w:id="58" w:name="_Toc528596448"/>
      <w:bookmarkStart w:id="59" w:name="_Toc19261880"/>
      <w:r w:rsidRPr="005C10CA">
        <w:t>Article 1</w:t>
      </w:r>
      <w:r w:rsidR="007B6ABE">
        <w:t>2</w:t>
      </w:r>
      <w:r w:rsidRPr="005C10CA">
        <w:t>.2 – Règlement amiable des différends</w:t>
      </w:r>
      <w:bookmarkEnd w:id="58"/>
      <w:bookmarkEnd w:id="59"/>
    </w:p>
    <w:p w14:paraId="7C7FAF52" w14:textId="77777777" w:rsidR="005504A2" w:rsidRPr="005C10CA" w:rsidRDefault="005504A2" w:rsidP="005504A2">
      <w:pPr>
        <w:tabs>
          <w:tab w:val="left" w:pos="720"/>
          <w:tab w:val="left" w:pos="1080"/>
        </w:tabs>
        <w:jc w:val="both"/>
        <w:rPr>
          <w:rFonts w:cs="Arial"/>
          <w:color w:val="000000" w:themeColor="text1"/>
          <w:szCs w:val="19"/>
        </w:rPr>
      </w:pPr>
      <w:bookmarkStart w:id="60" w:name="_Toc528596449"/>
      <w:bookmarkStart w:id="61" w:name="_Toc19261881"/>
      <w:bookmarkStart w:id="62" w:name="_Toc528596450"/>
      <w:bookmarkStart w:id="63" w:name="_Toc19261882"/>
      <w:r w:rsidRPr="005C10CA">
        <w:rPr>
          <w:rFonts w:cs="Arial"/>
          <w:color w:val="000000" w:themeColor="text1"/>
          <w:szCs w:val="19"/>
        </w:rPr>
        <w:t>En application de l’article 43.4 du CCAG-PI, en cas de différend persistant après le processus de réclamation, l’acheteur et le titulaire privilégient, préalablement à la saisine du tribunal administratif compétent, le recours à un comité consultatif de règlement à l'amiable, à la conciliation, à la médiation, notamment auprès du médiateur des entreprises, dans les conditions prévues par le code de la commande publique.</w:t>
      </w:r>
    </w:p>
    <w:p w14:paraId="4975E96E" w14:textId="77777777" w:rsidR="005504A2" w:rsidRPr="005C10CA" w:rsidRDefault="005504A2" w:rsidP="005504A2">
      <w:pPr>
        <w:tabs>
          <w:tab w:val="left" w:pos="720"/>
          <w:tab w:val="left" w:pos="1080"/>
        </w:tabs>
        <w:jc w:val="both"/>
        <w:rPr>
          <w:rFonts w:cs="Arial"/>
          <w:color w:val="000000" w:themeColor="text1"/>
          <w:szCs w:val="19"/>
        </w:rPr>
      </w:pPr>
      <w:r w:rsidRPr="005C10CA">
        <w:rPr>
          <w:rFonts w:cs="Arial"/>
          <w:color w:val="000000" w:themeColor="text1"/>
          <w:szCs w:val="19"/>
        </w:rPr>
        <w:t xml:space="preserve">L’acheteur et le titulaire peuvent recourir à la transaction afin de régler à l’amiable leur litige, conformément à l’article L. 2197-5 du code civil. </w:t>
      </w:r>
    </w:p>
    <w:p w14:paraId="1AF535FF" w14:textId="5724893D" w:rsidR="005504A2" w:rsidRPr="005C10CA" w:rsidRDefault="005504A2" w:rsidP="005504A2">
      <w:pPr>
        <w:pStyle w:val="Titre4"/>
      </w:pPr>
      <w:r w:rsidRPr="005C10CA">
        <w:t>Article 1</w:t>
      </w:r>
      <w:r w:rsidR="007B6ABE">
        <w:t>2</w:t>
      </w:r>
      <w:r w:rsidRPr="005C10CA">
        <w:t xml:space="preserve">.3 – Résiliation </w:t>
      </w:r>
      <w:bookmarkEnd w:id="60"/>
      <w:bookmarkEnd w:id="61"/>
      <w:r w:rsidR="00575E31" w:rsidRPr="005C10CA">
        <w:t>du marché</w:t>
      </w:r>
    </w:p>
    <w:p w14:paraId="4C2547E2" w14:textId="08AB18E6" w:rsidR="005504A2" w:rsidRPr="005C10CA" w:rsidRDefault="005504A2" w:rsidP="005504A2">
      <w:pPr>
        <w:tabs>
          <w:tab w:val="left" w:pos="720"/>
          <w:tab w:val="left" w:pos="1080"/>
        </w:tabs>
        <w:jc w:val="both"/>
        <w:rPr>
          <w:rFonts w:cs="Arial"/>
          <w:szCs w:val="19"/>
        </w:rPr>
      </w:pPr>
      <w:r w:rsidRPr="005C10CA">
        <w:rPr>
          <w:rFonts w:cs="Arial"/>
          <w:szCs w:val="19"/>
        </w:rPr>
        <w:t xml:space="preserve">Les modalités de résiliation de </w:t>
      </w:r>
      <w:r w:rsidR="00575E31" w:rsidRPr="005C10CA">
        <w:rPr>
          <w:rFonts w:cs="Arial"/>
          <w:szCs w:val="19"/>
        </w:rPr>
        <w:t>du marché</w:t>
      </w:r>
      <w:r w:rsidRPr="005C10CA">
        <w:rPr>
          <w:rFonts w:cs="Arial"/>
          <w:szCs w:val="19"/>
        </w:rPr>
        <w:t xml:space="preserve"> sont celles prévues aux articles 36 à 42 du CCAG-PI.</w:t>
      </w:r>
    </w:p>
    <w:p w14:paraId="7F4CE476" w14:textId="540DEC17" w:rsidR="001463B9" w:rsidRPr="005C10CA" w:rsidRDefault="001463B9" w:rsidP="001463B9">
      <w:pPr>
        <w:pStyle w:val="Titre4"/>
      </w:pPr>
      <w:bookmarkStart w:id="64" w:name="_Toc525573688"/>
      <w:bookmarkStart w:id="65" w:name="_Toc528596452"/>
      <w:bookmarkStart w:id="66" w:name="_Toc19261884"/>
      <w:bookmarkEnd w:id="62"/>
      <w:bookmarkEnd w:id="63"/>
      <w:r w:rsidRPr="005C10CA">
        <w:t>Article 1</w:t>
      </w:r>
      <w:r w:rsidR="007B6ABE">
        <w:t>2</w:t>
      </w:r>
      <w:r w:rsidRPr="005C10CA">
        <w:t>.4 - Tribunal compétent en cas de litige</w:t>
      </w:r>
      <w:bookmarkEnd w:id="64"/>
      <w:bookmarkEnd w:id="65"/>
      <w:bookmarkEnd w:id="66"/>
    </w:p>
    <w:p w14:paraId="43E56EFD" w14:textId="77777777" w:rsidR="001463B9" w:rsidRPr="005C10CA" w:rsidRDefault="001463B9" w:rsidP="001463B9">
      <w:pPr>
        <w:tabs>
          <w:tab w:val="left" w:pos="720"/>
          <w:tab w:val="left" w:pos="1080"/>
          <w:tab w:val="left" w:pos="1260"/>
          <w:tab w:val="left" w:pos="1440"/>
          <w:tab w:val="left" w:pos="1800"/>
        </w:tabs>
        <w:spacing w:after="120"/>
        <w:jc w:val="both"/>
        <w:rPr>
          <w:rFonts w:cs="Arial"/>
          <w:szCs w:val="19"/>
        </w:rPr>
      </w:pPr>
      <w:r w:rsidRPr="005C10CA">
        <w:rPr>
          <w:rFonts w:cs="Arial"/>
          <w:szCs w:val="19"/>
        </w:rPr>
        <w:t>En cas de litige, conformément à l'article R. 312-11 du code de justice administrative, les parties conviennent</w:t>
      </w:r>
    </w:p>
    <w:p w14:paraId="53DFBDF2" w14:textId="2F166B49" w:rsidR="001463B9" w:rsidRPr="005C10CA" w:rsidRDefault="001463B9" w:rsidP="001463B9">
      <w:pPr>
        <w:tabs>
          <w:tab w:val="left" w:pos="720"/>
          <w:tab w:val="left" w:pos="1080"/>
          <w:tab w:val="left" w:pos="1260"/>
          <w:tab w:val="left" w:pos="1440"/>
          <w:tab w:val="left" w:pos="1800"/>
        </w:tabs>
        <w:ind w:left="709"/>
        <w:jc w:val="both"/>
        <w:rPr>
          <w:rFonts w:cs="Arial"/>
          <w:szCs w:val="19"/>
        </w:rPr>
      </w:pPr>
      <w:r w:rsidRPr="005C10CA">
        <w:rPr>
          <w:rFonts w:cs="Arial"/>
          <w:szCs w:val="19"/>
        </w:rPr>
        <w:lastRenderedPageBreak/>
        <w:sym w:font="Wingdings" w:char="F071"/>
      </w:r>
      <w:r w:rsidRPr="005C10CA">
        <w:rPr>
          <w:rFonts w:cs="Arial"/>
          <w:szCs w:val="19"/>
        </w:rPr>
        <w:t xml:space="preserve">  de saisir le tribunal administratif dans le ressort duquel </w:t>
      </w:r>
      <w:r w:rsidRPr="005C10CA">
        <w:rPr>
          <w:rFonts w:cs="Arial"/>
          <w:color w:val="000000"/>
          <w:szCs w:val="19"/>
        </w:rPr>
        <w:t>se trouve le lieu prévu pour l'exécution</w:t>
      </w:r>
      <w:r w:rsidR="000134EF" w:rsidRPr="005C10CA">
        <w:rPr>
          <w:rFonts w:cs="Arial"/>
          <w:color w:val="000000"/>
          <w:szCs w:val="19"/>
        </w:rPr>
        <w:t xml:space="preserve"> des prestations du marché</w:t>
      </w:r>
    </w:p>
    <w:p w14:paraId="4986C52E" w14:textId="77777777" w:rsidR="001463B9" w:rsidRPr="005C10CA" w:rsidRDefault="001463B9" w:rsidP="001463B9">
      <w:pPr>
        <w:tabs>
          <w:tab w:val="left" w:pos="720"/>
          <w:tab w:val="left" w:pos="1080"/>
          <w:tab w:val="left" w:pos="1260"/>
          <w:tab w:val="left" w:pos="1440"/>
          <w:tab w:val="left" w:pos="1800"/>
        </w:tabs>
        <w:ind w:left="709"/>
        <w:jc w:val="both"/>
        <w:rPr>
          <w:rFonts w:cs="Arial"/>
          <w:szCs w:val="19"/>
        </w:rPr>
      </w:pPr>
      <w:r w:rsidRPr="005C10CA">
        <w:rPr>
          <w:rFonts w:cs="Arial"/>
          <w:szCs w:val="19"/>
        </w:rPr>
        <w:sym w:font="Wingdings" w:char="F071"/>
      </w:r>
      <w:r w:rsidRPr="005C10CA">
        <w:rPr>
          <w:rFonts w:cs="Arial"/>
          <w:szCs w:val="19"/>
        </w:rPr>
        <w:t xml:space="preserve">  ou de saisir un autre tribunal administratif : </w:t>
      </w:r>
      <w:r w:rsidRPr="005C10CA">
        <w:rPr>
          <w:rFonts w:cs="Arial"/>
          <w:szCs w:val="19"/>
          <w:shd w:val="clear" w:color="auto" w:fill="95B3D7" w:themeFill="accent1" w:themeFillTint="99"/>
        </w:rPr>
        <w:t>…</w:t>
      </w:r>
      <w:proofErr w:type="gramStart"/>
      <w:r w:rsidRPr="005C10CA">
        <w:rPr>
          <w:rFonts w:cs="Arial"/>
          <w:szCs w:val="19"/>
          <w:shd w:val="clear" w:color="auto" w:fill="95B3D7" w:themeFill="accent1" w:themeFillTint="99"/>
        </w:rPr>
        <w:t>…….</w:t>
      </w:r>
      <w:proofErr w:type="gramEnd"/>
      <w:r w:rsidRPr="005C10CA">
        <w:rPr>
          <w:rFonts w:cs="Arial"/>
          <w:szCs w:val="19"/>
          <w:shd w:val="clear" w:color="auto" w:fill="95B3D7" w:themeFill="accent1" w:themeFillTint="99"/>
        </w:rPr>
        <w:t>.</w:t>
      </w:r>
    </w:p>
    <w:p w14:paraId="149B67B5" w14:textId="36DF476A" w:rsidR="001463B9" w:rsidRPr="005C10CA" w:rsidRDefault="001463B9" w:rsidP="001463B9">
      <w:pPr>
        <w:pStyle w:val="Titre2"/>
      </w:pPr>
      <w:bookmarkStart w:id="67" w:name="_Toc528596453"/>
      <w:bookmarkStart w:id="68" w:name="_Toc19261885"/>
      <w:r w:rsidRPr="005C10CA">
        <w:t>article 1</w:t>
      </w:r>
      <w:r w:rsidR="007B6ABE">
        <w:t>3</w:t>
      </w:r>
      <w:r w:rsidR="00DD4E0E" w:rsidRPr="005C10CA">
        <w:t xml:space="preserve"> </w:t>
      </w:r>
      <w:r w:rsidRPr="005C10CA">
        <w:t>– DÉROGATIONS AU CCAG-PI</w:t>
      </w:r>
      <w:bookmarkEnd w:id="67"/>
      <w:bookmarkEnd w:id="68"/>
      <w:r w:rsidRPr="005C10CA">
        <w:tab/>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538"/>
        <w:gridCol w:w="2945"/>
      </w:tblGrid>
      <w:tr w:rsidR="001463B9" w:rsidRPr="005C10CA" w14:paraId="10E234A6" w14:textId="77777777" w:rsidTr="00FF4087">
        <w:trPr>
          <w:jc w:val="center"/>
        </w:trPr>
        <w:tc>
          <w:tcPr>
            <w:tcW w:w="3538" w:type="dxa"/>
            <w:shd w:val="clear" w:color="auto" w:fill="auto"/>
            <w:vAlign w:val="center"/>
          </w:tcPr>
          <w:p w14:paraId="28E6511D" w14:textId="6A43F2E2" w:rsidR="001463B9" w:rsidRPr="005C10CA" w:rsidRDefault="001463B9" w:rsidP="00FF4087">
            <w:pPr>
              <w:tabs>
                <w:tab w:val="left" w:pos="720"/>
                <w:tab w:val="left" w:pos="1080"/>
                <w:tab w:val="left" w:pos="1260"/>
                <w:tab w:val="left" w:pos="1440"/>
                <w:tab w:val="left" w:pos="1800"/>
              </w:tabs>
              <w:spacing w:after="0" w:line="240" w:lineRule="auto"/>
              <w:jc w:val="center"/>
              <w:rPr>
                <w:rFonts w:cs="Arial"/>
                <w:b/>
                <w:szCs w:val="19"/>
              </w:rPr>
            </w:pPr>
            <w:r w:rsidRPr="005C10CA">
              <w:rPr>
                <w:rFonts w:cs="Arial"/>
                <w:b/>
                <w:szCs w:val="19"/>
              </w:rPr>
              <w:t xml:space="preserve">Articles </w:t>
            </w:r>
            <w:r w:rsidR="00D1699F" w:rsidRPr="005C10CA">
              <w:rPr>
                <w:rFonts w:cs="Arial"/>
                <w:b/>
                <w:szCs w:val="19"/>
              </w:rPr>
              <w:t xml:space="preserve">du </w:t>
            </w:r>
            <w:r w:rsidR="00D4230C" w:rsidRPr="005C10CA">
              <w:rPr>
                <w:rFonts w:cs="Arial"/>
                <w:b/>
                <w:szCs w:val="19"/>
              </w:rPr>
              <w:t>CCP</w:t>
            </w:r>
          </w:p>
        </w:tc>
        <w:tc>
          <w:tcPr>
            <w:tcW w:w="2945" w:type="dxa"/>
            <w:shd w:val="clear" w:color="auto" w:fill="auto"/>
            <w:vAlign w:val="center"/>
          </w:tcPr>
          <w:p w14:paraId="26C28E84" w14:textId="77777777" w:rsidR="001463B9" w:rsidRPr="005C10CA" w:rsidRDefault="001463B9" w:rsidP="00FF4087">
            <w:pPr>
              <w:tabs>
                <w:tab w:val="left" w:pos="720"/>
                <w:tab w:val="left" w:pos="1080"/>
                <w:tab w:val="left" w:pos="1260"/>
                <w:tab w:val="left" w:pos="1440"/>
                <w:tab w:val="left" w:pos="1800"/>
              </w:tabs>
              <w:spacing w:after="0" w:line="240" w:lineRule="auto"/>
              <w:jc w:val="center"/>
              <w:rPr>
                <w:rFonts w:cs="Arial"/>
                <w:b/>
                <w:szCs w:val="19"/>
              </w:rPr>
            </w:pPr>
            <w:r w:rsidRPr="005C10CA">
              <w:rPr>
                <w:rFonts w:cs="Arial"/>
                <w:b/>
                <w:szCs w:val="19"/>
              </w:rPr>
              <w:t>Articles du CCAG-PI auxquels il est dérogé</w:t>
            </w:r>
          </w:p>
        </w:tc>
      </w:tr>
      <w:tr w:rsidR="001463B9" w:rsidRPr="005C10CA" w14:paraId="5BFAC20C" w14:textId="77777777" w:rsidTr="00FF4087">
        <w:trPr>
          <w:jc w:val="center"/>
        </w:trPr>
        <w:tc>
          <w:tcPr>
            <w:tcW w:w="3538" w:type="dxa"/>
            <w:vAlign w:val="center"/>
          </w:tcPr>
          <w:p w14:paraId="510A7DD9" w14:textId="7729E6BD" w:rsidR="001463B9" w:rsidRPr="005C10CA" w:rsidRDefault="001463B9" w:rsidP="00FF4087">
            <w:pPr>
              <w:tabs>
                <w:tab w:val="left" w:pos="720"/>
                <w:tab w:val="left" w:pos="1080"/>
                <w:tab w:val="left" w:pos="1260"/>
                <w:tab w:val="left" w:pos="1440"/>
                <w:tab w:val="left" w:pos="1800"/>
              </w:tabs>
              <w:spacing w:after="0" w:line="240" w:lineRule="auto"/>
              <w:rPr>
                <w:rFonts w:cs="Arial"/>
                <w:szCs w:val="19"/>
              </w:rPr>
            </w:pPr>
            <w:r w:rsidRPr="005C10CA">
              <w:rPr>
                <w:rFonts w:cs="Arial"/>
                <w:szCs w:val="19"/>
              </w:rPr>
              <w:t xml:space="preserve">Article </w:t>
            </w:r>
            <w:r w:rsidR="00D1699F" w:rsidRPr="005C10CA">
              <w:rPr>
                <w:rFonts w:cs="Arial"/>
                <w:szCs w:val="19"/>
              </w:rPr>
              <w:t>2</w:t>
            </w:r>
          </w:p>
        </w:tc>
        <w:tc>
          <w:tcPr>
            <w:tcW w:w="2945" w:type="dxa"/>
            <w:vAlign w:val="center"/>
          </w:tcPr>
          <w:p w14:paraId="1A8ADADB" w14:textId="77777777" w:rsidR="001463B9" w:rsidRPr="005C10CA" w:rsidRDefault="001463B9" w:rsidP="00FF4087">
            <w:pPr>
              <w:tabs>
                <w:tab w:val="left" w:pos="720"/>
                <w:tab w:val="left" w:pos="1080"/>
                <w:tab w:val="left" w:pos="1260"/>
                <w:tab w:val="left" w:pos="1440"/>
                <w:tab w:val="left" w:pos="1800"/>
              </w:tabs>
              <w:spacing w:after="0" w:line="240" w:lineRule="auto"/>
              <w:rPr>
                <w:rFonts w:cs="Arial"/>
                <w:szCs w:val="19"/>
              </w:rPr>
            </w:pPr>
            <w:r w:rsidRPr="005C10CA">
              <w:rPr>
                <w:rFonts w:cs="Arial"/>
                <w:szCs w:val="19"/>
              </w:rPr>
              <w:t>Article 4.1</w:t>
            </w:r>
          </w:p>
        </w:tc>
      </w:tr>
      <w:tr w:rsidR="001463B9" w:rsidRPr="005C10CA" w14:paraId="2E4EE496" w14:textId="77777777" w:rsidTr="00FF4087">
        <w:trPr>
          <w:jc w:val="center"/>
        </w:trPr>
        <w:tc>
          <w:tcPr>
            <w:tcW w:w="3538" w:type="dxa"/>
            <w:vAlign w:val="center"/>
          </w:tcPr>
          <w:p w14:paraId="3DF332EE" w14:textId="7557001E" w:rsidR="001463B9" w:rsidRPr="005C10CA" w:rsidRDefault="001463B9" w:rsidP="00FF4087">
            <w:pPr>
              <w:tabs>
                <w:tab w:val="left" w:pos="720"/>
                <w:tab w:val="left" w:pos="1080"/>
                <w:tab w:val="left" w:pos="1260"/>
                <w:tab w:val="left" w:pos="1440"/>
                <w:tab w:val="left" w:pos="1800"/>
              </w:tabs>
              <w:spacing w:after="0" w:line="240" w:lineRule="auto"/>
              <w:rPr>
                <w:rFonts w:cs="Arial"/>
                <w:szCs w:val="19"/>
              </w:rPr>
            </w:pPr>
            <w:r w:rsidRPr="005C10CA">
              <w:rPr>
                <w:rFonts w:cs="Arial"/>
                <w:szCs w:val="19"/>
              </w:rPr>
              <w:t xml:space="preserve">Article </w:t>
            </w:r>
            <w:r w:rsidR="00282530">
              <w:rPr>
                <w:rFonts w:cs="Arial"/>
                <w:szCs w:val="19"/>
              </w:rPr>
              <w:t>7</w:t>
            </w:r>
            <w:r w:rsidR="00D1699F" w:rsidRPr="005C10CA">
              <w:rPr>
                <w:rFonts w:cs="Arial"/>
                <w:szCs w:val="19"/>
              </w:rPr>
              <w:t>.</w:t>
            </w:r>
            <w:r w:rsidR="00DC5DCD">
              <w:rPr>
                <w:rFonts w:cs="Arial"/>
                <w:szCs w:val="19"/>
              </w:rPr>
              <w:t>3</w:t>
            </w:r>
            <w:r w:rsidR="00D1699F" w:rsidRPr="005C10CA">
              <w:rPr>
                <w:rFonts w:cs="Arial"/>
                <w:szCs w:val="19"/>
              </w:rPr>
              <w:t>.2</w:t>
            </w:r>
          </w:p>
        </w:tc>
        <w:tc>
          <w:tcPr>
            <w:tcW w:w="2945" w:type="dxa"/>
            <w:vAlign w:val="center"/>
          </w:tcPr>
          <w:p w14:paraId="35F5B5DE" w14:textId="27E73C08" w:rsidR="001463B9" w:rsidRPr="005C10CA" w:rsidRDefault="001463B9" w:rsidP="00FF4087">
            <w:pPr>
              <w:tabs>
                <w:tab w:val="left" w:pos="720"/>
                <w:tab w:val="left" w:pos="1080"/>
                <w:tab w:val="left" w:pos="1260"/>
                <w:tab w:val="left" w:pos="1440"/>
                <w:tab w:val="left" w:pos="1800"/>
              </w:tabs>
              <w:spacing w:after="0" w:line="240" w:lineRule="auto"/>
              <w:rPr>
                <w:rFonts w:cs="Arial"/>
                <w:szCs w:val="19"/>
              </w:rPr>
            </w:pPr>
            <w:r w:rsidRPr="005C10CA">
              <w:rPr>
                <w:rFonts w:cs="Arial"/>
                <w:szCs w:val="19"/>
              </w:rPr>
              <w:t xml:space="preserve">Article </w:t>
            </w:r>
            <w:r w:rsidR="00D1699F" w:rsidRPr="005C10CA">
              <w:rPr>
                <w:rFonts w:cs="Arial"/>
                <w:szCs w:val="19"/>
              </w:rPr>
              <w:t>28.2</w:t>
            </w:r>
          </w:p>
        </w:tc>
      </w:tr>
      <w:tr w:rsidR="001463B9" w:rsidRPr="005C10CA" w14:paraId="309075F5" w14:textId="77777777" w:rsidTr="00FF4087">
        <w:trPr>
          <w:jc w:val="center"/>
        </w:trPr>
        <w:tc>
          <w:tcPr>
            <w:tcW w:w="3538" w:type="dxa"/>
            <w:vAlign w:val="center"/>
          </w:tcPr>
          <w:p w14:paraId="537D43D7" w14:textId="662493B9" w:rsidR="001463B9" w:rsidRPr="005C10CA" w:rsidRDefault="001463B9" w:rsidP="00FF4087">
            <w:pPr>
              <w:tabs>
                <w:tab w:val="left" w:pos="720"/>
                <w:tab w:val="left" w:pos="1080"/>
                <w:tab w:val="left" w:pos="1260"/>
                <w:tab w:val="left" w:pos="1440"/>
                <w:tab w:val="left" w:pos="1800"/>
              </w:tabs>
              <w:spacing w:after="0" w:line="240" w:lineRule="auto"/>
              <w:rPr>
                <w:rFonts w:cs="Arial"/>
                <w:szCs w:val="19"/>
              </w:rPr>
            </w:pPr>
            <w:r w:rsidRPr="005C10CA">
              <w:rPr>
                <w:rFonts w:cs="Arial"/>
                <w:szCs w:val="19"/>
              </w:rPr>
              <w:t xml:space="preserve">Article </w:t>
            </w:r>
            <w:r w:rsidR="00282530">
              <w:rPr>
                <w:rFonts w:cs="Arial"/>
                <w:szCs w:val="19"/>
              </w:rPr>
              <w:t>7</w:t>
            </w:r>
            <w:r w:rsidR="00D1699F" w:rsidRPr="005C10CA">
              <w:rPr>
                <w:rFonts w:cs="Arial"/>
                <w:szCs w:val="19"/>
              </w:rPr>
              <w:t>.</w:t>
            </w:r>
            <w:r w:rsidR="00DC5DCD">
              <w:rPr>
                <w:rFonts w:cs="Arial"/>
                <w:szCs w:val="19"/>
              </w:rPr>
              <w:t>3</w:t>
            </w:r>
            <w:r w:rsidR="00D1699F" w:rsidRPr="005C10CA">
              <w:rPr>
                <w:rFonts w:cs="Arial"/>
                <w:szCs w:val="19"/>
              </w:rPr>
              <w:t>.3</w:t>
            </w:r>
          </w:p>
        </w:tc>
        <w:tc>
          <w:tcPr>
            <w:tcW w:w="2945" w:type="dxa"/>
            <w:vAlign w:val="center"/>
          </w:tcPr>
          <w:p w14:paraId="07A06D5E" w14:textId="0407764B" w:rsidR="001463B9" w:rsidRPr="005C10CA" w:rsidRDefault="001463B9" w:rsidP="00FF4087">
            <w:pPr>
              <w:tabs>
                <w:tab w:val="left" w:pos="720"/>
                <w:tab w:val="left" w:pos="1080"/>
                <w:tab w:val="left" w:pos="1260"/>
                <w:tab w:val="left" w:pos="1440"/>
                <w:tab w:val="left" w:pos="1800"/>
              </w:tabs>
              <w:spacing w:after="0" w:line="240" w:lineRule="auto"/>
              <w:rPr>
                <w:rFonts w:cs="Arial"/>
                <w:szCs w:val="19"/>
              </w:rPr>
            </w:pPr>
            <w:r w:rsidRPr="005C10CA">
              <w:rPr>
                <w:rFonts w:cs="Arial"/>
                <w:szCs w:val="19"/>
              </w:rPr>
              <w:t xml:space="preserve">Article </w:t>
            </w:r>
            <w:r w:rsidR="00D1699F" w:rsidRPr="005C10CA">
              <w:rPr>
                <w:rFonts w:cs="Arial"/>
                <w:szCs w:val="19"/>
              </w:rPr>
              <w:t>30</w:t>
            </w:r>
          </w:p>
        </w:tc>
      </w:tr>
      <w:tr w:rsidR="001463B9" w:rsidRPr="005C10CA" w14:paraId="32D4FD0A" w14:textId="77777777" w:rsidTr="00FF4087">
        <w:trPr>
          <w:jc w:val="center"/>
        </w:trPr>
        <w:tc>
          <w:tcPr>
            <w:tcW w:w="3538" w:type="dxa"/>
            <w:vAlign w:val="center"/>
          </w:tcPr>
          <w:p w14:paraId="310A046F" w14:textId="22691456" w:rsidR="001463B9" w:rsidRPr="005C10CA" w:rsidRDefault="001463B9" w:rsidP="00FF4087">
            <w:pPr>
              <w:tabs>
                <w:tab w:val="left" w:pos="720"/>
                <w:tab w:val="left" w:pos="1080"/>
                <w:tab w:val="left" w:pos="1260"/>
                <w:tab w:val="left" w:pos="1440"/>
                <w:tab w:val="left" w:pos="1800"/>
              </w:tabs>
              <w:spacing w:after="0" w:line="240" w:lineRule="auto"/>
              <w:rPr>
                <w:rFonts w:cs="Arial"/>
                <w:szCs w:val="19"/>
              </w:rPr>
            </w:pPr>
            <w:r w:rsidRPr="005C10CA">
              <w:rPr>
                <w:rFonts w:cs="Arial"/>
                <w:szCs w:val="19"/>
              </w:rPr>
              <w:t>Article</w:t>
            </w:r>
            <w:r w:rsidR="00282530">
              <w:rPr>
                <w:rFonts w:cs="Arial"/>
                <w:szCs w:val="19"/>
              </w:rPr>
              <w:t xml:space="preserve"> 7</w:t>
            </w:r>
            <w:r w:rsidR="00D1699F" w:rsidRPr="005C10CA">
              <w:rPr>
                <w:rFonts w:cs="Arial"/>
                <w:szCs w:val="19"/>
              </w:rPr>
              <w:t>.</w:t>
            </w:r>
            <w:r w:rsidR="00C20B11">
              <w:rPr>
                <w:rFonts w:cs="Arial"/>
                <w:szCs w:val="19"/>
              </w:rPr>
              <w:t>5</w:t>
            </w:r>
          </w:p>
        </w:tc>
        <w:tc>
          <w:tcPr>
            <w:tcW w:w="2945" w:type="dxa"/>
            <w:vAlign w:val="center"/>
          </w:tcPr>
          <w:p w14:paraId="6858D44A" w14:textId="755DB89C" w:rsidR="001463B9" w:rsidRPr="005C10CA" w:rsidRDefault="001463B9" w:rsidP="00FF4087">
            <w:pPr>
              <w:tabs>
                <w:tab w:val="left" w:pos="720"/>
                <w:tab w:val="left" w:pos="1080"/>
                <w:tab w:val="left" w:pos="1260"/>
                <w:tab w:val="left" w:pos="1440"/>
                <w:tab w:val="left" w:pos="1800"/>
              </w:tabs>
              <w:spacing w:after="0" w:line="240" w:lineRule="auto"/>
              <w:rPr>
                <w:rFonts w:cs="Arial"/>
                <w:szCs w:val="19"/>
              </w:rPr>
            </w:pPr>
            <w:r w:rsidRPr="005C10CA">
              <w:rPr>
                <w:rFonts w:cs="Arial"/>
                <w:szCs w:val="19"/>
              </w:rPr>
              <w:t xml:space="preserve">Article </w:t>
            </w:r>
            <w:r w:rsidR="00D1699F" w:rsidRPr="005C10CA">
              <w:rPr>
                <w:rFonts w:cs="Arial"/>
                <w:color w:val="000000" w:themeColor="text1"/>
                <w:szCs w:val="19"/>
              </w:rPr>
              <w:t>22</w:t>
            </w:r>
          </w:p>
        </w:tc>
      </w:tr>
      <w:tr w:rsidR="00D1699F" w:rsidRPr="005C10CA" w14:paraId="0E572FC9" w14:textId="77777777" w:rsidTr="00D1699F">
        <w:trPr>
          <w:jc w:val="center"/>
        </w:trPr>
        <w:tc>
          <w:tcPr>
            <w:tcW w:w="3538" w:type="dxa"/>
            <w:tcBorders>
              <w:top w:val="single" w:sz="4" w:space="0" w:color="808080"/>
              <w:left w:val="single" w:sz="4" w:space="0" w:color="808080"/>
              <w:bottom w:val="single" w:sz="4" w:space="0" w:color="808080"/>
              <w:right w:val="single" w:sz="4" w:space="0" w:color="808080"/>
            </w:tcBorders>
            <w:vAlign w:val="center"/>
          </w:tcPr>
          <w:p w14:paraId="289854FF" w14:textId="071F3555" w:rsidR="00D1699F" w:rsidRPr="005C10CA" w:rsidRDefault="00D1699F" w:rsidP="005130B2">
            <w:pPr>
              <w:tabs>
                <w:tab w:val="left" w:pos="720"/>
                <w:tab w:val="left" w:pos="1080"/>
                <w:tab w:val="left" w:pos="1260"/>
                <w:tab w:val="left" w:pos="1440"/>
                <w:tab w:val="left" w:pos="1800"/>
              </w:tabs>
              <w:spacing w:after="0" w:line="240" w:lineRule="auto"/>
              <w:rPr>
                <w:rFonts w:cs="Arial"/>
                <w:szCs w:val="19"/>
              </w:rPr>
            </w:pPr>
            <w:bookmarkStart w:id="69" w:name="_Toc528596351"/>
            <w:r w:rsidRPr="005C10CA">
              <w:rPr>
                <w:rFonts w:cs="Arial"/>
                <w:szCs w:val="19"/>
              </w:rPr>
              <w:t xml:space="preserve">Article </w:t>
            </w:r>
            <w:r w:rsidR="007B6ABE">
              <w:rPr>
                <w:rFonts w:cs="Arial"/>
                <w:szCs w:val="19"/>
              </w:rPr>
              <w:t>8</w:t>
            </w:r>
            <w:r w:rsidRPr="005C10CA">
              <w:rPr>
                <w:rFonts w:cs="Arial"/>
                <w:szCs w:val="19"/>
              </w:rPr>
              <w:t>.2</w:t>
            </w:r>
          </w:p>
        </w:tc>
        <w:tc>
          <w:tcPr>
            <w:tcW w:w="2945" w:type="dxa"/>
            <w:tcBorders>
              <w:top w:val="single" w:sz="4" w:space="0" w:color="808080"/>
              <w:left w:val="single" w:sz="4" w:space="0" w:color="808080"/>
              <w:bottom w:val="single" w:sz="4" w:space="0" w:color="808080"/>
              <w:right w:val="single" w:sz="4" w:space="0" w:color="808080"/>
            </w:tcBorders>
            <w:vAlign w:val="center"/>
          </w:tcPr>
          <w:p w14:paraId="770177A0" w14:textId="548E7DE6" w:rsidR="00D1699F" w:rsidRPr="005C10CA" w:rsidRDefault="00D1699F" w:rsidP="005130B2">
            <w:pPr>
              <w:tabs>
                <w:tab w:val="left" w:pos="720"/>
                <w:tab w:val="left" w:pos="1080"/>
                <w:tab w:val="left" w:pos="1260"/>
                <w:tab w:val="left" w:pos="1440"/>
                <w:tab w:val="left" w:pos="1800"/>
              </w:tabs>
              <w:spacing w:after="0" w:line="240" w:lineRule="auto"/>
              <w:rPr>
                <w:rFonts w:cs="Arial"/>
                <w:szCs w:val="19"/>
              </w:rPr>
            </w:pPr>
            <w:r w:rsidRPr="005C10CA">
              <w:rPr>
                <w:rFonts w:cs="Arial"/>
                <w:szCs w:val="19"/>
              </w:rPr>
              <w:t>Article 10.1.1</w:t>
            </w:r>
          </w:p>
        </w:tc>
      </w:tr>
      <w:tr w:rsidR="00D1699F" w:rsidRPr="005C10CA" w14:paraId="1DFE2121" w14:textId="77777777" w:rsidTr="00D1699F">
        <w:trPr>
          <w:jc w:val="center"/>
        </w:trPr>
        <w:tc>
          <w:tcPr>
            <w:tcW w:w="3538" w:type="dxa"/>
            <w:tcBorders>
              <w:top w:val="single" w:sz="4" w:space="0" w:color="808080"/>
              <w:left w:val="single" w:sz="4" w:space="0" w:color="808080"/>
              <w:bottom w:val="single" w:sz="4" w:space="0" w:color="808080"/>
              <w:right w:val="single" w:sz="4" w:space="0" w:color="808080"/>
            </w:tcBorders>
            <w:vAlign w:val="center"/>
          </w:tcPr>
          <w:p w14:paraId="41D0F2D5" w14:textId="1A693E55" w:rsidR="00D1699F" w:rsidRPr="005C10CA" w:rsidRDefault="00D1699F" w:rsidP="005130B2">
            <w:pPr>
              <w:tabs>
                <w:tab w:val="left" w:pos="720"/>
                <w:tab w:val="left" w:pos="1080"/>
                <w:tab w:val="left" w:pos="1260"/>
                <w:tab w:val="left" w:pos="1440"/>
                <w:tab w:val="left" w:pos="1800"/>
              </w:tabs>
              <w:spacing w:after="0" w:line="240" w:lineRule="auto"/>
              <w:rPr>
                <w:rFonts w:cs="Arial"/>
                <w:szCs w:val="19"/>
              </w:rPr>
            </w:pPr>
            <w:r w:rsidRPr="005C10CA">
              <w:rPr>
                <w:rFonts w:cs="Arial"/>
                <w:szCs w:val="19"/>
              </w:rPr>
              <w:t>Article 1</w:t>
            </w:r>
            <w:r w:rsidR="007B6ABE">
              <w:rPr>
                <w:rFonts w:cs="Arial"/>
                <w:szCs w:val="19"/>
              </w:rPr>
              <w:t>2</w:t>
            </w:r>
            <w:r w:rsidRPr="005C10CA">
              <w:rPr>
                <w:rFonts w:cs="Arial"/>
                <w:szCs w:val="19"/>
              </w:rPr>
              <w:t>.1</w:t>
            </w:r>
          </w:p>
        </w:tc>
        <w:tc>
          <w:tcPr>
            <w:tcW w:w="2945" w:type="dxa"/>
            <w:tcBorders>
              <w:top w:val="single" w:sz="4" w:space="0" w:color="808080"/>
              <w:left w:val="single" w:sz="4" w:space="0" w:color="808080"/>
              <w:bottom w:val="single" w:sz="4" w:space="0" w:color="808080"/>
              <w:right w:val="single" w:sz="4" w:space="0" w:color="808080"/>
            </w:tcBorders>
            <w:vAlign w:val="center"/>
          </w:tcPr>
          <w:p w14:paraId="0800B3CB" w14:textId="77777777" w:rsidR="00D1699F" w:rsidRPr="005C10CA" w:rsidRDefault="00D1699F" w:rsidP="005130B2">
            <w:pPr>
              <w:tabs>
                <w:tab w:val="left" w:pos="720"/>
                <w:tab w:val="left" w:pos="1080"/>
                <w:tab w:val="left" w:pos="1260"/>
                <w:tab w:val="left" w:pos="1440"/>
                <w:tab w:val="left" w:pos="1800"/>
              </w:tabs>
              <w:spacing w:after="0" w:line="240" w:lineRule="auto"/>
              <w:rPr>
                <w:rFonts w:cs="Arial"/>
                <w:szCs w:val="19"/>
              </w:rPr>
            </w:pPr>
            <w:r w:rsidRPr="005C10CA">
              <w:rPr>
                <w:rFonts w:cs="Arial"/>
                <w:szCs w:val="19"/>
              </w:rPr>
              <w:t>Article 43.3</w:t>
            </w:r>
          </w:p>
        </w:tc>
      </w:tr>
    </w:tbl>
    <w:p w14:paraId="22DEE03C" w14:textId="41DA1AAB" w:rsidR="00660A5F" w:rsidRPr="005C10CA" w:rsidRDefault="00660A5F">
      <w:pPr>
        <w:rPr>
          <w:rFonts w:eastAsia="Times New Roman" w:cs="Times New Roman"/>
          <w:b/>
          <w:bCs/>
          <w:caps/>
          <w:color w:val="000000" w:themeColor="text1"/>
          <w:sz w:val="24"/>
          <w:szCs w:val="26"/>
        </w:rPr>
      </w:pPr>
    </w:p>
    <w:bookmarkEnd w:id="69"/>
    <w:p w14:paraId="412CC3BC" w14:textId="77777777" w:rsidR="009A1E6E" w:rsidRPr="005C10CA" w:rsidRDefault="009A1E6E" w:rsidP="00E02A5A">
      <w:pPr>
        <w:rPr>
          <w:szCs w:val="19"/>
        </w:rPr>
      </w:pPr>
    </w:p>
    <w:sectPr w:rsidR="009A1E6E" w:rsidRPr="005C10CA" w:rsidSect="00045F38">
      <w:footerReference w:type="default" r:id="rId8"/>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233A" w14:textId="77777777" w:rsidR="00EC717B" w:rsidRDefault="00EC717B" w:rsidP="00724EF6">
      <w:pPr>
        <w:spacing w:after="0" w:line="240" w:lineRule="auto"/>
      </w:pPr>
      <w:r>
        <w:separator/>
      </w:r>
    </w:p>
  </w:endnote>
  <w:endnote w:type="continuationSeparator" w:id="0">
    <w:p w14:paraId="597BDB0E" w14:textId="77777777" w:rsidR="00EC717B" w:rsidRDefault="00EC717B" w:rsidP="00724EF6">
      <w:pPr>
        <w:spacing w:after="0" w:line="240" w:lineRule="auto"/>
      </w:pPr>
      <w:r>
        <w:continuationSeparator/>
      </w:r>
    </w:p>
  </w:endnote>
  <w:endnote w:type="continuationNotice" w:id="1">
    <w:p w14:paraId="41B9F8C6" w14:textId="77777777" w:rsidR="00EC717B" w:rsidRDefault="00EC71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90660"/>
      <w:docPartObj>
        <w:docPartGallery w:val="Page Numbers (Bottom of Page)"/>
        <w:docPartUnique/>
      </w:docPartObj>
    </w:sdtPr>
    <w:sdtContent>
      <w:p w14:paraId="4A523059" w14:textId="77777777" w:rsidR="00FF4087" w:rsidRDefault="00FF4087">
        <w:pPr>
          <w:pStyle w:val="Pieddepage"/>
          <w:jc w:val="right"/>
        </w:pPr>
        <w:r>
          <w:fldChar w:fldCharType="begin"/>
        </w:r>
        <w:r>
          <w:instrText>PAGE   \* MERGEFORMAT</w:instrText>
        </w:r>
        <w:r>
          <w:fldChar w:fldCharType="separate"/>
        </w:r>
        <w:r>
          <w:rPr>
            <w:noProof/>
          </w:rPr>
          <w:t>1</w:t>
        </w:r>
        <w:r>
          <w:fldChar w:fldCharType="end"/>
        </w:r>
      </w:p>
    </w:sdtContent>
  </w:sdt>
  <w:p w14:paraId="68C51CC5" w14:textId="00D2C31F" w:rsidR="00FF4087" w:rsidRPr="00894774" w:rsidRDefault="00FF4087">
    <w:pPr>
      <w:pStyle w:val="Pieddepage"/>
      <w:rPr>
        <w:sz w:val="16"/>
        <w:szCs w:val="16"/>
      </w:rPr>
    </w:pPr>
    <w:bookmarkStart w:id="70" w:name="_Hlk51247768"/>
    <w:bookmarkStart w:id="71" w:name="_Hlk51247769"/>
    <w:r w:rsidRPr="00894774">
      <w:rPr>
        <w:sz w:val="16"/>
        <w:szCs w:val="16"/>
      </w:rPr>
      <w:t xml:space="preserve">Modèle </w:t>
    </w:r>
    <w:r w:rsidR="002D233D" w:rsidRPr="00894774">
      <w:rPr>
        <w:sz w:val="16"/>
        <w:szCs w:val="16"/>
      </w:rPr>
      <w:t>de marché public</w:t>
    </w:r>
    <w:r w:rsidRPr="00894774">
      <w:rPr>
        <w:sz w:val="16"/>
        <w:szCs w:val="16"/>
      </w:rPr>
      <w:t xml:space="preserve"> </w:t>
    </w:r>
    <w:r w:rsidR="00CF7232" w:rsidRPr="00894774">
      <w:rPr>
        <w:sz w:val="16"/>
        <w:szCs w:val="16"/>
      </w:rPr>
      <w:t xml:space="preserve">– </w:t>
    </w:r>
    <w:r w:rsidR="002D233D" w:rsidRPr="00894774">
      <w:rPr>
        <w:color w:val="FF5959"/>
        <w:sz w:val="16"/>
        <w:szCs w:val="16"/>
      </w:rPr>
      <w:t>Elaboration d’un plan-guide</w:t>
    </w:r>
    <w:r w:rsidRPr="00894774">
      <w:rPr>
        <w:color w:val="FF5959"/>
        <w:sz w:val="16"/>
        <w:szCs w:val="16"/>
      </w:rPr>
      <w:t xml:space="preserve"> </w:t>
    </w:r>
    <w:r w:rsidR="00CF151F">
      <w:rPr>
        <w:color w:val="FF5959"/>
        <w:sz w:val="16"/>
        <w:szCs w:val="16"/>
      </w:rPr>
      <w:t xml:space="preserve">communal </w:t>
    </w:r>
    <w:r w:rsidRPr="00894774">
      <w:rPr>
        <w:sz w:val="16"/>
        <w:szCs w:val="16"/>
      </w:rPr>
      <w:t>–</w:t>
    </w:r>
    <w:r w:rsidR="002D233D" w:rsidRPr="00894774">
      <w:rPr>
        <w:sz w:val="16"/>
        <w:szCs w:val="16"/>
      </w:rPr>
      <w:t xml:space="preserve"> </w:t>
    </w:r>
    <w:r w:rsidRPr="00894774">
      <w:rPr>
        <w:sz w:val="16"/>
        <w:szCs w:val="16"/>
      </w:rPr>
      <w:t xml:space="preserve">CCP </w:t>
    </w:r>
    <w:r w:rsidR="007B6ABE">
      <w:rPr>
        <w:sz w:val="16"/>
        <w:szCs w:val="16"/>
      </w:rPr>
      <w:t>–</w:t>
    </w:r>
    <w:r w:rsidRPr="00894774">
      <w:rPr>
        <w:sz w:val="16"/>
        <w:szCs w:val="16"/>
      </w:rPr>
      <w:t xml:space="preserve"> </w:t>
    </w:r>
    <w:bookmarkEnd w:id="70"/>
    <w:bookmarkEnd w:id="71"/>
    <w:r w:rsidR="008C098B">
      <w:rPr>
        <w:sz w:val="16"/>
        <w:szCs w:val="16"/>
      </w:rPr>
      <w:t>Version</w:t>
    </w:r>
    <w:r w:rsidR="00A36CD5">
      <w:rPr>
        <w:sz w:val="16"/>
        <w:szCs w:val="16"/>
      </w:rPr>
      <w:t xml:space="preserve"> novembre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AC44" w14:textId="77777777" w:rsidR="00EC717B" w:rsidRDefault="00EC717B" w:rsidP="00724EF6">
      <w:pPr>
        <w:spacing w:after="0" w:line="240" w:lineRule="auto"/>
      </w:pPr>
      <w:r>
        <w:separator/>
      </w:r>
    </w:p>
  </w:footnote>
  <w:footnote w:type="continuationSeparator" w:id="0">
    <w:p w14:paraId="128B1C30" w14:textId="77777777" w:rsidR="00EC717B" w:rsidRDefault="00EC717B" w:rsidP="00724EF6">
      <w:pPr>
        <w:spacing w:after="0" w:line="240" w:lineRule="auto"/>
      </w:pPr>
      <w:r>
        <w:continuationSeparator/>
      </w:r>
    </w:p>
  </w:footnote>
  <w:footnote w:type="continuationNotice" w:id="1">
    <w:p w14:paraId="0FE107BF" w14:textId="77777777" w:rsidR="00EC717B" w:rsidRDefault="00EC71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1" w15:restartNumberingAfterBreak="0">
    <w:nsid w:val="00000003"/>
    <w:multiLevelType w:val="singleLevel"/>
    <w:tmpl w:val="EE1C59C0"/>
    <w:name w:val="WW8Num3"/>
    <w:lvl w:ilvl="0">
      <w:start w:val="1"/>
      <w:numFmt w:val="decimal"/>
      <w:lvlText w:val="%1."/>
      <w:lvlJc w:val="left"/>
      <w:pPr>
        <w:tabs>
          <w:tab w:val="num" w:pos="786"/>
        </w:tabs>
        <w:ind w:left="786" w:hanging="360"/>
      </w:pPr>
      <w:rPr>
        <w:b/>
      </w:rPr>
    </w:lvl>
  </w:abstractNum>
  <w:abstractNum w:abstractNumId="2" w15:restartNumberingAfterBreak="0">
    <w:nsid w:val="00100645"/>
    <w:multiLevelType w:val="hybridMultilevel"/>
    <w:tmpl w:val="4D4AA9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223901"/>
    <w:multiLevelType w:val="hybridMultilevel"/>
    <w:tmpl w:val="06B81C04"/>
    <w:lvl w:ilvl="0" w:tplc="00000002">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6A3A57"/>
    <w:multiLevelType w:val="hybridMultilevel"/>
    <w:tmpl w:val="D80012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B14244"/>
    <w:multiLevelType w:val="hybridMultilevel"/>
    <w:tmpl w:val="604EFD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A4501B"/>
    <w:multiLevelType w:val="hybridMultilevel"/>
    <w:tmpl w:val="D7E4E6BC"/>
    <w:lvl w:ilvl="0" w:tplc="040C0005">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7" w15:restartNumberingAfterBreak="0">
    <w:nsid w:val="0918195F"/>
    <w:multiLevelType w:val="hybridMultilevel"/>
    <w:tmpl w:val="098A6B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5416C1"/>
    <w:multiLevelType w:val="hybridMultilevel"/>
    <w:tmpl w:val="1F1CE7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18712F"/>
    <w:multiLevelType w:val="hybridMultilevel"/>
    <w:tmpl w:val="AC049B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842FA2"/>
    <w:multiLevelType w:val="hybridMultilevel"/>
    <w:tmpl w:val="00D8AE30"/>
    <w:lvl w:ilvl="0" w:tplc="5E3237E0">
      <w:start w:val="1"/>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797E4E"/>
    <w:multiLevelType w:val="hybridMultilevel"/>
    <w:tmpl w:val="7BE0CA3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DC2743"/>
    <w:multiLevelType w:val="hybridMultilevel"/>
    <w:tmpl w:val="D11CC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EE1167"/>
    <w:multiLevelType w:val="hybridMultilevel"/>
    <w:tmpl w:val="C26431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D27C13"/>
    <w:multiLevelType w:val="hybridMultilevel"/>
    <w:tmpl w:val="8850E6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65199A"/>
    <w:multiLevelType w:val="hybridMultilevel"/>
    <w:tmpl w:val="E1E6F06C"/>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2B4F58"/>
    <w:multiLevelType w:val="hybridMultilevel"/>
    <w:tmpl w:val="407C3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900F55"/>
    <w:multiLevelType w:val="hybridMultilevel"/>
    <w:tmpl w:val="A962A2E8"/>
    <w:lvl w:ilvl="0" w:tplc="296A477A">
      <w:start w:val="1"/>
      <w:numFmt w:val="lowerLetter"/>
      <w:lvlText w:val="%1)"/>
      <w:lvlJc w:val="left"/>
      <w:pPr>
        <w:ind w:left="720" w:hanging="360"/>
      </w:pPr>
      <w:rPr>
        <w:rFonts w:ascii="Verdana" w:eastAsiaTheme="minorHAnsi" w:hAnsi="Verdana" w:cstheme="minorBid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607FE6"/>
    <w:multiLevelType w:val="hybridMultilevel"/>
    <w:tmpl w:val="31E237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5F30DE"/>
    <w:multiLevelType w:val="hybridMultilevel"/>
    <w:tmpl w:val="DD243F88"/>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5B7E3C"/>
    <w:multiLevelType w:val="hybridMultilevel"/>
    <w:tmpl w:val="0A525A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D839CA"/>
    <w:multiLevelType w:val="hybridMultilevel"/>
    <w:tmpl w:val="5624FF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A61DB6"/>
    <w:multiLevelType w:val="hybridMultilevel"/>
    <w:tmpl w:val="E6EEDCCA"/>
    <w:lvl w:ilvl="0" w:tplc="E2EAAEB4">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23" w15:restartNumberingAfterBreak="0">
    <w:nsid w:val="477347E9"/>
    <w:multiLevelType w:val="hybridMultilevel"/>
    <w:tmpl w:val="C98A6DA4"/>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F15317"/>
    <w:multiLevelType w:val="hybridMultilevel"/>
    <w:tmpl w:val="C4D0E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8971E0"/>
    <w:multiLevelType w:val="hybridMultilevel"/>
    <w:tmpl w:val="EBA489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B46E93"/>
    <w:multiLevelType w:val="hybridMultilevel"/>
    <w:tmpl w:val="7DC2E0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FB7FBA"/>
    <w:multiLevelType w:val="multilevel"/>
    <w:tmpl w:val="C6D8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6C3ABB"/>
    <w:multiLevelType w:val="hybridMultilevel"/>
    <w:tmpl w:val="D2D4CC2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975FF3"/>
    <w:multiLevelType w:val="hybridMultilevel"/>
    <w:tmpl w:val="161ED2A4"/>
    <w:lvl w:ilvl="0" w:tplc="1CE0416C">
      <w:start w:val="3"/>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6E5B44"/>
    <w:multiLevelType w:val="hybridMultilevel"/>
    <w:tmpl w:val="280CC2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227F49"/>
    <w:multiLevelType w:val="hybridMultilevel"/>
    <w:tmpl w:val="C2A6E6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F74B05"/>
    <w:multiLevelType w:val="hybridMultilevel"/>
    <w:tmpl w:val="713C7874"/>
    <w:lvl w:ilvl="0" w:tplc="3FEEFB96">
      <w:start w:val="3"/>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357AEC"/>
    <w:multiLevelType w:val="hybridMultilevel"/>
    <w:tmpl w:val="0D42F5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A77FC3"/>
    <w:multiLevelType w:val="hybridMultilevel"/>
    <w:tmpl w:val="5A9469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D60142"/>
    <w:multiLevelType w:val="hybridMultilevel"/>
    <w:tmpl w:val="F6B4E518"/>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78593B"/>
    <w:multiLevelType w:val="hybridMultilevel"/>
    <w:tmpl w:val="0E229690"/>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503063"/>
    <w:multiLevelType w:val="hybridMultilevel"/>
    <w:tmpl w:val="E80EFE7E"/>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7585BB5"/>
    <w:multiLevelType w:val="hybridMultilevel"/>
    <w:tmpl w:val="FF1C8B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D16F16"/>
    <w:multiLevelType w:val="hybridMultilevel"/>
    <w:tmpl w:val="01346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4E3A0C"/>
    <w:multiLevelType w:val="hybridMultilevel"/>
    <w:tmpl w:val="3BB4E4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5D0055"/>
    <w:multiLevelType w:val="hybridMultilevel"/>
    <w:tmpl w:val="E4D438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4001EB"/>
    <w:multiLevelType w:val="hybridMultilevel"/>
    <w:tmpl w:val="90A81C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B03C09"/>
    <w:multiLevelType w:val="hybridMultilevel"/>
    <w:tmpl w:val="CF9074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F82E27"/>
    <w:multiLevelType w:val="hybridMultilevel"/>
    <w:tmpl w:val="98D0F7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732D3E"/>
    <w:multiLevelType w:val="hybridMultilevel"/>
    <w:tmpl w:val="A962A2E8"/>
    <w:lvl w:ilvl="0" w:tplc="296A477A">
      <w:start w:val="1"/>
      <w:numFmt w:val="lowerLetter"/>
      <w:lvlText w:val="%1)"/>
      <w:lvlJc w:val="left"/>
      <w:pPr>
        <w:ind w:left="720" w:hanging="360"/>
      </w:pPr>
      <w:rPr>
        <w:rFonts w:ascii="Verdana" w:eastAsiaTheme="minorHAnsi" w:hAnsi="Verdana" w:cstheme="minorBid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9127B21"/>
    <w:multiLevelType w:val="hybridMultilevel"/>
    <w:tmpl w:val="043CC6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34983436">
    <w:abstractNumId w:val="1"/>
  </w:num>
  <w:num w:numId="2" w16cid:durableId="706681886">
    <w:abstractNumId w:val="23"/>
  </w:num>
  <w:num w:numId="3" w16cid:durableId="999044851">
    <w:abstractNumId w:val="26"/>
  </w:num>
  <w:num w:numId="4" w16cid:durableId="739331987">
    <w:abstractNumId w:val="21"/>
  </w:num>
  <w:num w:numId="5" w16cid:durableId="1917662788">
    <w:abstractNumId w:val="20"/>
  </w:num>
  <w:num w:numId="6" w16cid:durableId="163860734">
    <w:abstractNumId w:val="12"/>
  </w:num>
  <w:num w:numId="7" w16cid:durableId="453987766">
    <w:abstractNumId w:val="19"/>
  </w:num>
  <w:num w:numId="8" w16cid:durableId="1035272839">
    <w:abstractNumId w:val="46"/>
  </w:num>
  <w:num w:numId="9" w16cid:durableId="1623881060">
    <w:abstractNumId w:val="35"/>
  </w:num>
  <w:num w:numId="10" w16cid:durableId="574902825">
    <w:abstractNumId w:val="40"/>
  </w:num>
  <w:num w:numId="11" w16cid:durableId="318382479">
    <w:abstractNumId w:val="45"/>
  </w:num>
  <w:num w:numId="12" w16cid:durableId="2010016472">
    <w:abstractNumId w:val="3"/>
  </w:num>
  <w:num w:numId="13" w16cid:durableId="897201485">
    <w:abstractNumId w:val="22"/>
  </w:num>
  <w:num w:numId="14" w16cid:durableId="2129623141">
    <w:abstractNumId w:val="2"/>
  </w:num>
  <w:num w:numId="15" w16cid:durableId="988021130">
    <w:abstractNumId w:val="37"/>
  </w:num>
  <w:num w:numId="16" w16cid:durableId="933124932">
    <w:abstractNumId w:val="36"/>
  </w:num>
  <w:num w:numId="17" w16cid:durableId="896160044">
    <w:abstractNumId w:val="43"/>
  </w:num>
  <w:num w:numId="18" w16cid:durableId="1223713756">
    <w:abstractNumId w:val="15"/>
  </w:num>
  <w:num w:numId="19" w16cid:durableId="586811464">
    <w:abstractNumId w:val="44"/>
  </w:num>
  <w:num w:numId="20" w16cid:durableId="1884974049">
    <w:abstractNumId w:val="13"/>
  </w:num>
  <w:num w:numId="21" w16cid:durableId="2133670771">
    <w:abstractNumId w:val="34"/>
  </w:num>
  <w:num w:numId="22" w16cid:durableId="374160016">
    <w:abstractNumId w:val="7"/>
  </w:num>
  <w:num w:numId="23" w16cid:durableId="1748770101">
    <w:abstractNumId w:val="8"/>
  </w:num>
  <w:num w:numId="24" w16cid:durableId="877812716">
    <w:abstractNumId w:val="9"/>
  </w:num>
  <w:num w:numId="25" w16cid:durableId="840855816">
    <w:abstractNumId w:val="4"/>
  </w:num>
  <w:num w:numId="26" w16cid:durableId="101148384">
    <w:abstractNumId w:val="14"/>
  </w:num>
  <w:num w:numId="27" w16cid:durableId="967583817">
    <w:abstractNumId w:val="11"/>
  </w:num>
  <w:num w:numId="28" w16cid:durableId="816217864">
    <w:abstractNumId w:val="6"/>
  </w:num>
  <w:num w:numId="29" w16cid:durableId="764811051">
    <w:abstractNumId w:val="33"/>
  </w:num>
  <w:num w:numId="30" w16cid:durableId="2046441098">
    <w:abstractNumId w:val="38"/>
  </w:num>
  <w:num w:numId="31" w16cid:durableId="907687623">
    <w:abstractNumId w:val="30"/>
  </w:num>
  <w:num w:numId="32" w16cid:durableId="2037611269">
    <w:abstractNumId w:val="25"/>
  </w:num>
  <w:num w:numId="33" w16cid:durableId="1230113326">
    <w:abstractNumId w:val="31"/>
  </w:num>
  <w:num w:numId="34" w16cid:durableId="879368043">
    <w:abstractNumId w:val="42"/>
  </w:num>
  <w:num w:numId="35" w16cid:durableId="401560523">
    <w:abstractNumId w:val="10"/>
  </w:num>
  <w:num w:numId="36" w16cid:durableId="797842240">
    <w:abstractNumId w:val="39"/>
  </w:num>
  <w:num w:numId="37" w16cid:durableId="419526365">
    <w:abstractNumId w:val="17"/>
  </w:num>
  <w:num w:numId="38" w16cid:durableId="1361978009">
    <w:abstractNumId w:val="16"/>
  </w:num>
  <w:num w:numId="39" w16cid:durableId="1012949387">
    <w:abstractNumId w:val="41"/>
  </w:num>
  <w:num w:numId="40" w16cid:durableId="493225335">
    <w:abstractNumId w:val="29"/>
  </w:num>
  <w:num w:numId="41" w16cid:durableId="576745379">
    <w:abstractNumId w:val="32"/>
  </w:num>
  <w:num w:numId="42" w16cid:durableId="1608542527">
    <w:abstractNumId w:val="28"/>
  </w:num>
  <w:num w:numId="43" w16cid:durableId="1498426114">
    <w:abstractNumId w:val="5"/>
  </w:num>
  <w:num w:numId="44" w16cid:durableId="1449350888">
    <w:abstractNumId w:val="18"/>
  </w:num>
  <w:num w:numId="45" w16cid:durableId="1234242304">
    <w:abstractNumId w:val="24"/>
  </w:num>
  <w:num w:numId="46" w16cid:durableId="877007082">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9B"/>
    <w:rsid w:val="00000507"/>
    <w:rsid w:val="000030B7"/>
    <w:rsid w:val="0000576F"/>
    <w:rsid w:val="00006D59"/>
    <w:rsid w:val="000134EF"/>
    <w:rsid w:val="0001413D"/>
    <w:rsid w:val="00025862"/>
    <w:rsid w:val="00026CC1"/>
    <w:rsid w:val="00030D34"/>
    <w:rsid w:val="00035CAC"/>
    <w:rsid w:val="00035D62"/>
    <w:rsid w:val="000379A3"/>
    <w:rsid w:val="00042153"/>
    <w:rsid w:val="00045F38"/>
    <w:rsid w:val="00052E88"/>
    <w:rsid w:val="0005319B"/>
    <w:rsid w:val="00053C41"/>
    <w:rsid w:val="0005473F"/>
    <w:rsid w:val="0005514C"/>
    <w:rsid w:val="00055A71"/>
    <w:rsid w:val="00056457"/>
    <w:rsid w:val="00056769"/>
    <w:rsid w:val="000568BA"/>
    <w:rsid w:val="00060810"/>
    <w:rsid w:val="00062EAA"/>
    <w:rsid w:val="00064973"/>
    <w:rsid w:val="00074401"/>
    <w:rsid w:val="00075832"/>
    <w:rsid w:val="00076D6E"/>
    <w:rsid w:val="00080636"/>
    <w:rsid w:val="00084450"/>
    <w:rsid w:val="000862B2"/>
    <w:rsid w:val="00087EFE"/>
    <w:rsid w:val="00090892"/>
    <w:rsid w:val="000915F1"/>
    <w:rsid w:val="00092A2C"/>
    <w:rsid w:val="00097E4E"/>
    <w:rsid w:val="000A30FA"/>
    <w:rsid w:val="000A75C6"/>
    <w:rsid w:val="000A7C9C"/>
    <w:rsid w:val="000B1852"/>
    <w:rsid w:val="000B2BCB"/>
    <w:rsid w:val="000B408E"/>
    <w:rsid w:val="000B4712"/>
    <w:rsid w:val="000B4755"/>
    <w:rsid w:val="000B595C"/>
    <w:rsid w:val="000B73E8"/>
    <w:rsid w:val="000C0FC6"/>
    <w:rsid w:val="000C272B"/>
    <w:rsid w:val="000D2C1A"/>
    <w:rsid w:val="000D442E"/>
    <w:rsid w:val="000D47D1"/>
    <w:rsid w:val="000D5813"/>
    <w:rsid w:val="000D6EBD"/>
    <w:rsid w:val="000D7E47"/>
    <w:rsid w:val="000E5DF1"/>
    <w:rsid w:val="000E755A"/>
    <w:rsid w:val="000F6641"/>
    <w:rsid w:val="000F7AC6"/>
    <w:rsid w:val="0011663C"/>
    <w:rsid w:val="001200A1"/>
    <w:rsid w:val="00125109"/>
    <w:rsid w:val="001363CA"/>
    <w:rsid w:val="00137AEA"/>
    <w:rsid w:val="00144227"/>
    <w:rsid w:val="001457E1"/>
    <w:rsid w:val="001462AC"/>
    <w:rsid w:val="001463B9"/>
    <w:rsid w:val="0014772E"/>
    <w:rsid w:val="00152E21"/>
    <w:rsid w:val="00161081"/>
    <w:rsid w:val="00163402"/>
    <w:rsid w:val="001657A1"/>
    <w:rsid w:val="00170510"/>
    <w:rsid w:val="00171551"/>
    <w:rsid w:val="0017789C"/>
    <w:rsid w:val="0018010F"/>
    <w:rsid w:val="001805BD"/>
    <w:rsid w:val="00180726"/>
    <w:rsid w:val="00181B1F"/>
    <w:rsid w:val="00182128"/>
    <w:rsid w:val="00184DA2"/>
    <w:rsid w:val="00185CFC"/>
    <w:rsid w:val="00187529"/>
    <w:rsid w:val="00187761"/>
    <w:rsid w:val="00187833"/>
    <w:rsid w:val="00190AE0"/>
    <w:rsid w:val="001920DE"/>
    <w:rsid w:val="00194FD2"/>
    <w:rsid w:val="00196693"/>
    <w:rsid w:val="001974F9"/>
    <w:rsid w:val="001A00F7"/>
    <w:rsid w:val="001A266D"/>
    <w:rsid w:val="001A3112"/>
    <w:rsid w:val="001A3A32"/>
    <w:rsid w:val="001A42A0"/>
    <w:rsid w:val="001A4D87"/>
    <w:rsid w:val="001A5954"/>
    <w:rsid w:val="001A7545"/>
    <w:rsid w:val="001B08FB"/>
    <w:rsid w:val="001B20CC"/>
    <w:rsid w:val="001B240A"/>
    <w:rsid w:val="001B6BAA"/>
    <w:rsid w:val="001C1D77"/>
    <w:rsid w:val="001C29AD"/>
    <w:rsid w:val="001C36F3"/>
    <w:rsid w:val="001C4FDC"/>
    <w:rsid w:val="001D472E"/>
    <w:rsid w:val="001D7440"/>
    <w:rsid w:val="001E680A"/>
    <w:rsid w:val="001E6978"/>
    <w:rsid w:val="001F3BAA"/>
    <w:rsid w:val="001F5DDF"/>
    <w:rsid w:val="001F7217"/>
    <w:rsid w:val="00203FD5"/>
    <w:rsid w:val="002051EB"/>
    <w:rsid w:val="00210FAD"/>
    <w:rsid w:val="002119E4"/>
    <w:rsid w:val="002168C7"/>
    <w:rsid w:val="0022288D"/>
    <w:rsid w:val="00224D03"/>
    <w:rsid w:val="00225F9D"/>
    <w:rsid w:val="00227333"/>
    <w:rsid w:val="00232971"/>
    <w:rsid w:val="0023684F"/>
    <w:rsid w:val="00237706"/>
    <w:rsid w:val="002403ED"/>
    <w:rsid w:val="00240A33"/>
    <w:rsid w:val="00243C42"/>
    <w:rsid w:val="00245658"/>
    <w:rsid w:val="00251BFC"/>
    <w:rsid w:val="002566F0"/>
    <w:rsid w:val="002665E8"/>
    <w:rsid w:val="00282530"/>
    <w:rsid w:val="00283A31"/>
    <w:rsid w:val="00286F76"/>
    <w:rsid w:val="002871C0"/>
    <w:rsid w:val="002873FC"/>
    <w:rsid w:val="0029489F"/>
    <w:rsid w:val="0029747D"/>
    <w:rsid w:val="002A26ED"/>
    <w:rsid w:val="002A5427"/>
    <w:rsid w:val="002A72AC"/>
    <w:rsid w:val="002B49B3"/>
    <w:rsid w:val="002C0E94"/>
    <w:rsid w:val="002C5298"/>
    <w:rsid w:val="002C56F1"/>
    <w:rsid w:val="002C6F7A"/>
    <w:rsid w:val="002D1B17"/>
    <w:rsid w:val="002D233D"/>
    <w:rsid w:val="002D719D"/>
    <w:rsid w:val="002E039A"/>
    <w:rsid w:val="002E0C9D"/>
    <w:rsid w:val="002E2B4A"/>
    <w:rsid w:val="002E4B1E"/>
    <w:rsid w:val="002F0233"/>
    <w:rsid w:val="002F2E5C"/>
    <w:rsid w:val="002F7221"/>
    <w:rsid w:val="002F754D"/>
    <w:rsid w:val="003001EA"/>
    <w:rsid w:val="0030072B"/>
    <w:rsid w:val="0030490D"/>
    <w:rsid w:val="003053F2"/>
    <w:rsid w:val="00310F90"/>
    <w:rsid w:val="0031110F"/>
    <w:rsid w:val="00314511"/>
    <w:rsid w:val="003147F6"/>
    <w:rsid w:val="0032313D"/>
    <w:rsid w:val="00324C48"/>
    <w:rsid w:val="00326004"/>
    <w:rsid w:val="00331828"/>
    <w:rsid w:val="003406D7"/>
    <w:rsid w:val="00341307"/>
    <w:rsid w:val="00341C09"/>
    <w:rsid w:val="0034503F"/>
    <w:rsid w:val="00345184"/>
    <w:rsid w:val="00347CF4"/>
    <w:rsid w:val="00351C47"/>
    <w:rsid w:val="00355D47"/>
    <w:rsid w:val="00357536"/>
    <w:rsid w:val="003620E8"/>
    <w:rsid w:val="00362772"/>
    <w:rsid w:val="00363E6C"/>
    <w:rsid w:val="00364F09"/>
    <w:rsid w:val="003662BB"/>
    <w:rsid w:val="00371202"/>
    <w:rsid w:val="00371BAE"/>
    <w:rsid w:val="003721F1"/>
    <w:rsid w:val="003728A3"/>
    <w:rsid w:val="003776F4"/>
    <w:rsid w:val="003803BE"/>
    <w:rsid w:val="003807F8"/>
    <w:rsid w:val="00381D27"/>
    <w:rsid w:val="00385E56"/>
    <w:rsid w:val="003906A0"/>
    <w:rsid w:val="00392641"/>
    <w:rsid w:val="00393532"/>
    <w:rsid w:val="003A0CBD"/>
    <w:rsid w:val="003A5638"/>
    <w:rsid w:val="003B5139"/>
    <w:rsid w:val="003B63DC"/>
    <w:rsid w:val="003B7533"/>
    <w:rsid w:val="003C2CE4"/>
    <w:rsid w:val="003C433E"/>
    <w:rsid w:val="003C5298"/>
    <w:rsid w:val="003D036E"/>
    <w:rsid w:val="003D1D6C"/>
    <w:rsid w:val="003D2E6C"/>
    <w:rsid w:val="003D30CF"/>
    <w:rsid w:val="003E13ED"/>
    <w:rsid w:val="003E2E8A"/>
    <w:rsid w:val="003E4F1C"/>
    <w:rsid w:val="003E5436"/>
    <w:rsid w:val="003E5785"/>
    <w:rsid w:val="003E7902"/>
    <w:rsid w:val="003F0007"/>
    <w:rsid w:val="003F0B4B"/>
    <w:rsid w:val="003F300A"/>
    <w:rsid w:val="00400C78"/>
    <w:rsid w:val="0040402A"/>
    <w:rsid w:val="0040784E"/>
    <w:rsid w:val="00407F0A"/>
    <w:rsid w:val="0041046E"/>
    <w:rsid w:val="00411FE5"/>
    <w:rsid w:val="0041308C"/>
    <w:rsid w:val="00413A04"/>
    <w:rsid w:val="00416325"/>
    <w:rsid w:val="00416B41"/>
    <w:rsid w:val="00420F04"/>
    <w:rsid w:val="00422706"/>
    <w:rsid w:val="00423D55"/>
    <w:rsid w:val="00424101"/>
    <w:rsid w:val="00426725"/>
    <w:rsid w:val="0043392C"/>
    <w:rsid w:val="004348CC"/>
    <w:rsid w:val="00434E4C"/>
    <w:rsid w:val="0043779C"/>
    <w:rsid w:val="0044649E"/>
    <w:rsid w:val="00447F0C"/>
    <w:rsid w:val="00455941"/>
    <w:rsid w:val="00456745"/>
    <w:rsid w:val="00456C4A"/>
    <w:rsid w:val="004579EE"/>
    <w:rsid w:val="00461236"/>
    <w:rsid w:val="00464674"/>
    <w:rsid w:val="00467462"/>
    <w:rsid w:val="0047093D"/>
    <w:rsid w:val="00472763"/>
    <w:rsid w:val="004748E5"/>
    <w:rsid w:val="0047492A"/>
    <w:rsid w:val="00484A33"/>
    <w:rsid w:val="0049061E"/>
    <w:rsid w:val="004961AF"/>
    <w:rsid w:val="004A12CA"/>
    <w:rsid w:val="004A7023"/>
    <w:rsid w:val="004B3B36"/>
    <w:rsid w:val="004B7DA3"/>
    <w:rsid w:val="004C078A"/>
    <w:rsid w:val="004C167C"/>
    <w:rsid w:val="004C2F6C"/>
    <w:rsid w:val="004C3CAD"/>
    <w:rsid w:val="004D0986"/>
    <w:rsid w:val="004D7090"/>
    <w:rsid w:val="004E3AFD"/>
    <w:rsid w:val="004E4D5A"/>
    <w:rsid w:val="004E551B"/>
    <w:rsid w:val="004F4B2F"/>
    <w:rsid w:val="004F7CF3"/>
    <w:rsid w:val="00501738"/>
    <w:rsid w:val="005026B1"/>
    <w:rsid w:val="00507D06"/>
    <w:rsid w:val="005110C4"/>
    <w:rsid w:val="005143AB"/>
    <w:rsid w:val="0052069A"/>
    <w:rsid w:val="00521B82"/>
    <w:rsid w:val="00521C77"/>
    <w:rsid w:val="00530D2C"/>
    <w:rsid w:val="005325BD"/>
    <w:rsid w:val="00532B30"/>
    <w:rsid w:val="00535FB3"/>
    <w:rsid w:val="00537027"/>
    <w:rsid w:val="00543F5A"/>
    <w:rsid w:val="00547B0E"/>
    <w:rsid w:val="005504A2"/>
    <w:rsid w:val="0055175D"/>
    <w:rsid w:val="005632B5"/>
    <w:rsid w:val="005649E2"/>
    <w:rsid w:val="00565269"/>
    <w:rsid w:val="00570287"/>
    <w:rsid w:val="0057380B"/>
    <w:rsid w:val="005739CF"/>
    <w:rsid w:val="00574088"/>
    <w:rsid w:val="00575E31"/>
    <w:rsid w:val="00577A7D"/>
    <w:rsid w:val="0058246D"/>
    <w:rsid w:val="0058381B"/>
    <w:rsid w:val="00590683"/>
    <w:rsid w:val="00592B23"/>
    <w:rsid w:val="005946BC"/>
    <w:rsid w:val="00594EA4"/>
    <w:rsid w:val="00595F26"/>
    <w:rsid w:val="00597867"/>
    <w:rsid w:val="005A74D3"/>
    <w:rsid w:val="005A7EE7"/>
    <w:rsid w:val="005C04BD"/>
    <w:rsid w:val="005C096B"/>
    <w:rsid w:val="005C10CA"/>
    <w:rsid w:val="005C216D"/>
    <w:rsid w:val="005C720C"/>
    <w:rsid w:val="005D60CD"/>
    <w:rsid w:val="005D6571"/>
    <w:rsid w:val="005D6BD6"/>
    <w:rsid w:val="005D78AA"/>
    <w:rsid w:val="005E0957"/>
    <w:rsid w:val="005E2D95"/>
    <w:rsid w:val="005F7AFF"/>
    <w:rsid w:val="00600E8A"/>
    <w:rsid w:val="00600F7F"/>
    <w:rsid w:val="00603A9D"/>
    <w:rsid w:val="006124C4"/>
    <w:rsid w:val="006310AD"/>
    <w:rsid w:val="00631742"/>
    <w:rsid w:val="0063527D"/>
    <w:rsid w:val="006363D1"/>
    <w:rsid w:val="006367B1"/>
    <w:rsid w:val="0063740D"/>
    <w:rsid w:val="00641DCC"/>
    <w:rsid w:val="00642C81"/>
    <w:rsid w:val="00643764"/>
    <w:rsid w:val="0064424B"/>
    <w:rsid w:val="00646211"/>
    <w:rsid w:val="0065020E"/>
    <w:rsid w:val="00656716"/>
    <w:rsid w:val="00656A96"/>
    <w:rsid w:val="00657CDC"/>
    <w:rsid w:val="006605F7"/>
    <w:rsid w:val="00660A5F"/>
    <w:rsid w:val="00660D42"/>
    <w:rsid w:val="00663AD6"/>
    <w:rsid w:val="00664E2A"/>
    <w:rsid w:val="00665229"/>
    <w:rsid w:val="00672227"/>
    <w:rsid w:val="00673685"/>
    <w:rsid w:val="006749B7"/>
    <w:rsid w:val="00674C4E"/>
    <w:rsid w:val="00681D01"/>
    <w:rsid w:val="00682C76"/>
    <w:rsid w:val="00682D5D"/>
    <w:rsid w:val="0068357E"/>
    <w:rsid w:val="0068484E"/>
    <w:rsid w:val="00685CFE"/>
    <w:rsid w:val="006863C7"/>
    <w:rsid w:val="00692113"/>
    <w:rsid w:val="00693C88"/>
    <w:rsid w:val="006958D4"/>
    <w:rsid w:val="006958E0"/>
    <w:rsid w:val="00696D44"/>
    <w:rsid w:val="006976E3"/>
    <w:rsid w:val="00697930"/>
    <w:rsid w:val="00697D1F"/>
    <w:rsid w:val="006A15F4"/>
    <w:rsid w:val="006A17C8"/>
    <w:rsid w:val="006A1DB4"/>
    <w:rsid w:val="006A5022"/>
    <w:rsid w:val="006A684A"/>
    <w:rsid w:val="006B0277"/>
    <w:rsid w:val="006B1342"/>
    <w:rsid w:val="006B21E4"/>
    <w:rsid w:val="006B257D"/>
    <w:rsid w:val="006B35E5"/>
    <w:rsid w:val="006C1E2B"/>
    <w:rsid w:val="006C2756"/>
    <w:rsid w:val="006C2EF0"/>
    <w:rsid w:val="006C4CCB"/>
    <w:rsid w:val="006C5719"/>
    <w:rsid w:val="006D0774"/>
    <w:rsid w:val="006D1939"/>
    <w:rsid w:val="006D2F88"/>
    <w:rsid w:val="006D43A3"/>
    <w:rsid w:val="006E19D2"/>
    <w:rsid w:val="006E52CC"/>
    <w:rsid w:val="006E6BBD"/>
    <w:rsid w:val="006E787D"/>
    <w:rsid w:val="006F17D4"/>
    <w:rsid w:val="006F1B9F"/>
    <w:rsid w:val="006F2D41"/>
    <w:rsid w:val="006F456D"/>
    <w:rsid w:val="0070080A"/>
    <w:rsid w:val="00704479"/>
    <w:rsid w:val="00712201"/>
    <w:rsid w:val="007207AD"/>
    <w:rsid w:val="00724EF6"/>
    <w:rsid w:val="007279D4"/>
    <w:rsid w:val="00730471"/>
    <w:rsid w:val="00731E59"/>
    <w:rsid w:val="00732A68"/>
    <w:rsid w:val="00733274"/>
    <w:rsid w:val="00735527"/>
    <w:rsid w:val="00737C2A"/>
    <w:rsid w:val="00737F08"/>
    <w:rsid w:val="007436D9"/>
    <w:rsid w:val="00744B44"/>
    <w:rsid w:val="007455A2"/>
    <w:rsid w:val="00751235"/>
    <w:rsid w:val="00755671"/>
    <w:rsid w:val="00761644"/>
    <w:rsid w:val="00766FA3"/>
    <w:rsid w:val="007677CC"/>
    <w:rsid w:val="007678E0"/>
    <w:rsid w:val="007741D3"/>
    <w:rsid w:val="00781A7B"/>
    <w:rsid w:val="00785CC1"/>
    <w:rsid w:val="007910E8"/>
    <w:rsid w:val="00794532"/>
    <w:rsid w:val="007953E4"/>
    <w:rsid w:val="00796124"/>
    <w:rsid w:val="00796A9A"/>
    <w:rsid w:val="00797D2E"/>
    <w:rsid w:val="007A22F1"/>
    <w:rsid w:val="007A3921"/>
    <w:rsid w:val="007A7AAE"/>
    <w:rsid w:val="007B0BAB"/>
    <w:rsid w:val="007B1A38"/>
    <w:rsid w:val="007B237A"/>
    <w:rsid w:val="007B6ABE"/>
    <w:rsid w:val="007B6FDB"/>
    <w:rsid w:val="007B71E9"/>
    <w:rsid w:val="007B7957"/>
    <w:rsid w:val="007B7D5E"/>
    <w:rsid w:val="007C18DD"/>
    <w:rsid w:val="007C3547"/>
    <w:rsid w:val="007C4B04"/>
    <w:rsid w:val="007C77F3"/>
    <w:rsid w:val="007D2A31"/>
    <w:rsid w:val="007D3E0E"/>
    <w:rsid w:val="007D6D29"/>
    <w:rsid w:val="007D6DCB"/>
    <w:rsid w:val="007E3A5E"/>
    <w:rsid w:val="007E5542"/>
    <w:rsid w:val="007F02B4"/>
    <w:rsid w:val="007F0A74"/>
    <w:rsid w:val="007F2CDC"/>
    <w:rsid w:val="0080021C"/>
    <w:rsid w:val="0080409C"/>
    <w:rsid w:val="00812370"/>
    <w:rsid w:val="00821529"/>
    <w:rsid w:val="0082178E"/>
    <w:rsid w:val="00821AD2"/>
    <w:rsid w:val="00822435"/>
    <w:rsid w:val="008332BF"/>
    <w:rsid w:val="00835389"/>
    <w:rsid w:val="0084018B"/>
    <w:rsid w:val="008436B6"/>
    <w:rsid w:val="00844812"/>
    <w:rsid w:val="008462BF"/>
    <w:rsid w:val="0084674D"/>
    <w:rsid w:val="00847AA0"/>
    <w:rsid w:val="0085409D"/>
    <w:rsid w:val="00854FC7"/>
    <w:rsid w:val="0086109E"/>
    <w:rsid w:val="00866800"/>
    <w:rsid w:val="00866E15"/>
    <w:rsid w:val="008674C0"/>
    <w:rsid w:val="00872879"/>
    <w:rsid w:val="0087294D"/>
    <w:rsid w:val="00873965"/>
    <w:rsid w:val="00874A5E"/>
    <w:rsid w:val="0087550C"/>
    <w:rsid w:val="00876861"/>
    <w:rsid w:val="00880060"/>
    <w:rsid w:val="00880EC1"/>
    <w:rsid w:val="008868A8"/>
    <w:rsid w:val="008933FE"/>
    <w:rsid w:val="00894774"/>
    <w:rsid w:val="00895FFD"/>
    <w:rsid w:val="008A2AC5"/>
    <w:rsid w:val="008A4803"/>
    <w:rsid w:val="008A485D"/>
    <w:rsid w:val="008A4AA0"/>
    <w:rsid w:val="008A6342"/>
    <w:rsid w:val="008A6587"/>
    <w:rsid w:val="008B01D0"/>
    <w:rsid w:val="008B1355"/>
    <w:rsid w:val="008B2D14"/>
    <w:rsid w:val="008B5167"/>
    <w:rsid w:val="008B6BBD"/>
    <w:rsid w:val="008C098B"/>
    <w:rsid w:val="008C4B7A"/>
    <w:rsid w:val="008D0865"/>
    <w:rsid w:val="008D19A2"/>
    <w:rsid w:val="008E4CB1"/>
    <w:rsid w:val="008E6761"/>
    <w:rsid w:val="008F26C2"/>
    <w:rsid w:val="008F64FE"/>
    <w:rsid w:val="008F697E"/>
    <w:rsid w:val="008F7FB4"/>
    <w:rsid w:val="009016CF"/>
    <w:rsid w:val="00904EB0"/>
    <w:rsid w:val="00907682"/>
    <w:rsid w:val="009152FF"/>
    <w:rsid w:val="0092297C"/>
    <w:rsid w:val="00922BB5"/>
    <w:rsid w:val="00926000"/>
    <w:rsid w:val="00927667"/>
    <w:rsid w:val="00927F25"/>
    <w:rsid w:val="0093219B"/>
    <w:rsid w:val="009334FD"/>
    <w:rsid w:val="00933C34"/>
    <w:rsid w:val="009345AB"/>
    <w:rsid w:val="0093647D"/>
    <w:rsid w:val="009376A9"/>
    <w:rsid w:val="00942D3A"/>
    <w:rsid w:val="009449A2"/>
    <w:rsid w:val="00953C93"/>
    <w:rsid w:val="00961653"/>
    <w:rsid w:val="0096339A"/>
    <w:rsid w:val="009648B4"/>
    <w:rsid w:val="009667E2"/>
    <w:rsid w:val="00967746"/>
    <w:rsid w:val="00971332"/>
    <w:rsid w:val="00976467"/>
    <w:rsid w:val="00976CCD"/>
    <w:rsid w:val="00985EC9"/>
    <w:rsid w:val="00986970"/>
    <w:rsid w:val="00986C67"/>
    <w:rsid w:val="0098732B"/>
    <w:rsid w:val="0099418B"/>
    <w:rsid w:val="00995E63"/>
    <w:rsid w:val="009A0946"/>
    <w:rsid w:val="009A1E6E"/>
    <w:rsid w:val="009A4182"/>
    <w:rsid w:val="009A4A8E"/>
    <w:rsid w:val="009C168A"/>
    <w:rsid w:val="009C1D55"/>
    <w:rsid w:val="009C28C7"/>
    <w:rsid w:val="009C63A0"/>
    <w:rsid w:val="009C6686"/>
    <w:rsid w:val="009C7F76"/>
    <w:rsid w:val="009D05E1"/>
    <w:rsid w:val="009D2CDD"/>
    <w:rsid w:val="009D31FD"/>
    <w:rsid w:val="009D64DF"/>
    <w:rsid w:val="009E1332"/>
    <w:rsid w:val="009E3678"/>
    <w:rsid w:val="009F154D"/>
    <w:rsid w:val="009F6738"/>
    <w:rsid w:val="00A00E68"/>
    <w:rsid w:val="00A0131A"/>
    <w:rsid w:val="00A02B3E"/>
    <w:rsid w:val="00A042DD"/>
    <w:rsid w:val="00A04D97"/>
    <w:rsid w:val="00A06A20"/>
    <w:rsid w:val="00A10050"/>
    <w:rsid w:val="00A1034B"/>
    <w:rsid w:val="00A137F9"/>
    <w:rsid w:val="00A1739E"/>
    <w:rsid w:val="00A21391"/>
    <w:rsid w:val="00A21CF2"/>
    <w:rsid w:val="00A23573"/>
    <w:rsid w:val="00A263CE"/>
    <w:rsid w:val="00A268AA"/>
    <w:rsid w:val="00A31507"/>
    <w:rsid w:val="00A31D55"/>
    <w:rsid w:val="00A31DBC"/>
    <w:rsid w:val="00A34673"/>
    <w:rsid w:val="00A355A9"/>
    <w:rsid w:val="00A36CD5"/>
    <w:rsid w:val="00A37784"/>
    <w:rsid w:val="00A40BB0"/>
    <w:rsid w:val="00A470E0"/>
    <w:rsid w:val="00A52199"/>
    <w:rsid w:val="00A5340F"/>
    <w:rsid w:val="00A54960"/>
    <w:rsid w:val="00A54CE9"/>
    <w:rsid w:val="00A65017"/>
    <w:rsid w:val="00A7588B"/>
    <w:rsid w:val="00A76D0D"/>
    <w:rsid w:val="00A808D7"/>
    <w:rsid w:val="00A80926"/>
    <w:rsid w:val="00A8135F"/>
    <w:rsid w:val="00A81EBE"/>
    <w:rsid w:val="00A826CB"/>
    <w:rsid w:val="00A85E34"/>
    <w:rsid w:val="00A94F0B"/>
    <w:rsid w:val="00A9666A"/>
    <w:rsid w:val="00AA0937"/>
    <w:rsid w:val="00AA4AFA"/>
    <w:rsid w:val="00AA5735"/>
    <w:rsid w:val="00AA73BE"/>
    <w:rsid w:val="00AB24E0"/>
    <w:rsid w:val="00AC00D3"/>
    <w:rsid w:val="00AD33E4"/>
    <w:rsid w:val="00AD3575"/>
    <w:rsid w:val="00AD4002"/>
    <w:rsid w:val="00AD4C86"/>
    <w:rsid w:val="00AD6C2A"/>
    <w:rsid w:val="00AE11C8"/>
    <w:rsid w:val="00AE2651"/>
    <w:rsid w:val="00AE43D3"/>
    <w:rsid w:val="00AE5280"/>
    <w:rsid w:val="00AE52C9"/>
    <w:rsid w:val="00AE6B81"/>
    <w:rsid w:val="00AF25A1"/>
    <w:rsid w:val="00AF6202"/>
    <w:rsid w:val="00AF75EB"/>
    <w:rsid w:val="00B03735"/>
    <w:rsid w:val="00B11BA6"/>
    <w:rsid w:val="00B137D8"/>
    <w:rsid w:val="00B14480"/>
    <w:rsid w:val="00B146F0"/>
    <w:rsid w:val="00B15536"/>
    <w:rsid w:val="00B213FE"/>
    <w:rsid w:val="00B27107"/>
    <w:rsid w:val="00B3025F"/>
    <w:rsid w:val="00B32201"/>
    <w:rsid w:val="00B41AF9"/>
    <w:rsid w:val="00B513DC"/>
    <w:rsid w:val="00B51401"/>
    <w:rsid w:val="00B5498D"/>
    <w:rsid w:val="00B54D26"/>
    <w:rsid w:val="00B561E5"/>
    <w:rsid w:val="00B5638F"/>
    <w:rsid w:val="00B60342"/>
    <w:rsid w:val="00B6622B"/>
    <w:rsid w:val="00B66877"/>
    <w:rsid w:val="00B7136F"/>
    <w:rsid w:val="00B75D80"/>
    <w:rsid w:val="00B76B96"/>
    <w:rsid w:val="00B77F95"/>
    <w:rsid w:val="00B93B43"/>
    <w:rsid w:val="00B95C80"/>
    <w:rsid w:val="00BA5E65"/>
    <w:rsid w:val="00BA677D"/>
    <w:rsid w:val="00BB2D65"/>
    <w:rsid w:val="00BB711B"/>
    <w:rsid w:val="00BC1067"/>
    <w:rsid w:val="00BC1B74"/>
    <w:rsid w:val="00BC21B9"/>
    <w:rsid w:val="00BC297E"/>
    <w:rsid w:val="00BC3EE3"/>
    <w:rsid w:val="00BC59F3"/>
    <w:rsid w:val="00BC5B3F"/>
    <w:rsid w:val="00BC5DB5"/>
    <w:rsid w:val="00BD29CE"/>
    <w:rsid w:val="00BD2D52"/>
    <w:rsid w:val="00BD4303"/>
    <w:rsid w:val="00BE02FD"/>
    <w:rsid w:val="00BE2C79"/>
    <w:rsid w:val="00BE5605"/>
    <w:rsid w:val="00BE67A9"/>
    <w:rsid w:val="00BF129B"/>
    <w:rsid w:val="00BF2DAA"/>
    <w:rsid w:val="00BF3990"/>
    <w:rsid w:val="00BF3B9B"/>
    <w:rsid w:val="00BF7CFE"/>
    <w:rsid w:val="00C0443E"/>
    <w:rsid w:val="00C0448B"/>
    <w:rsid w:val="00C05694"/>
    <w:rsid w:val="00C056E9"/>
    <w:rsid w:val="00C0587E"/>
    <w:rsid w:val="00C06A83"/>
    <w:rsid w:val="00C11285"/>
    <w:rsid w:val="00C13E7B"/>
    <w:rsid w:val="00C14CF8"/>
    <w:rsid w:val="00C158B6"/>
    <w:rsid w:val="00C15C82"/>
    <w:rsid w:val="00C20B11"/>
    <w:rsid w:val="00C243EA"/>
    <w:rsid w:val="00C2766D"/>
    <w:rsid w:val="00C27A45"/>
    <w:rsid w:val="00C308AD"/>
    <w:rsid w:val="00C31E49"/>
    <w:rsid w:val="00C32863"/>
    <w:rsid w:val="00C328C5"/>
    <w:rsid w:val="00C36C79"/>
    <w:rsid w:val="00C378BC"/>
    <w:rsid w:val="00C46099"/>
    <w:rsid w:val="00C47FE0"/>
    <w:rsid w:val="00C5127B"/>
    <w:rsid w:val="00C53925"/>
    <w:rsid w:val="00C5644D"/>
    <w:rsid w:val="00C574E5"/>
    <w:rsid w:val="00C57656"/>
    <w:rsid w:val="00C67941"/>
    <w:rsid w:val="00C712A1"/>
    <w:rsid w:val="00C7221B"/>
    <w:rsid w:val="00C739CF"/>
    <w:rsid w:val="00C74559"/>
    <w:rsid w:val="00C817B3"/>
    <w:rsid w:val="00C85F28"/>
    <w:rsid w:val="00C8781A"/>
    <w:rsid w:val="00C87BB6"/>
    <w:rsid w:val="00C9465F"/>
    <w:rsid w:val="00CA00F1"/>
    <w:rsid w:val="00CA1D37"/>
    <w:rsid w:val="00CA217C"/>
    <w:rsid w:val="00CA2AF2"/>
    <w:rsid w:val="00CA66ED"/>
    <w:rsid w:val="00CB052C"/>
    <w:rsid w:val="00CB0A07"/>
    <w:rsid w:val="00CB15C5"/>
    <w:rsid w:val="00CB1E76"/>
    <w:rsid w:val="00CB28F4"/>
    <w:rsid w:val="00CB5A81"/>
    <w:rsid w:val="00CB5B8C"/>
    <w:rsid w:val="00CB6C74"/>
    <w:rsid w:val="00CC3968"/>
    <w:rsid w:val="00CC5F81"/>
    <w:rsid w:val="00CC69E4"/>
    <w:rsid w:val="00CD04BA"/>
    <w:rsid w:val="00CD3FE0"/>
    <w:rsid w:val="00CE32F9"/>
    <w:rsid w:val="00CE487C"/>
    <w:rsid w:val="00CF151F"/>
    <w:rsid w:val="00CF6BCE"/>
    <w:rsid w:val="00CF7232"/>
    <w:rsid w:val="00D02B35"/>
    <w:rsid w:val="00D0339C"/>
    <w:rsid w:val="00D12313"/>
    <w:rsid w:val="00D12D6E"/>
    <w:rsid w:val="00D1699F"/>
    <w:rsid w:val="00D213FF"/>
    <w:rsid w:val="00D2166C"/>
    <w:rsid w:val="00D23FFA"/>
    <w:rsid w:val="00D27AD6"/>
    <w:rsid w:val="00D30FAD"/>
    <w:rsid w:val="00D34A4D"/>
    <w:rsid w:val="00D351E4"/>
    <w:rsid w:val="00D3653D"/>
    <w:rsid w:val="00D36B12"/>
    <w:rsid w:val="00D3795D"/>
    <w:rsid w:val="00D4230C"/>
    <w:rsid w:val="00D45F63"/>
    <w:rsid w:val="00D500CE"/>
    <w:rsid w:val="00D52B35"/>
    <w:rsid w:val="00D557F0"/>
    <w:rsid w:val="00D5787B"/>
    <w:rsid w:val="00D57BA6"/>
    <w:rsid w:val="00D63E0E"/>
    <w:rsid w:val="00D65A0B"/>
    <w:rsid w:val="00D73227"/>
    <w:rsid w:val="00D7508A"/>
    <w:rsid w:val="00D7730D"/>
    <w:rsid w:val="00D81C9B"/>
    <w:rsid w:val="00D83652"/>
    <w:rsid w:val="00D83C9A"/>
    <w:rsid w:val="00D84574"/>
    <w:rsid w:val="00D85C2F"/>
    <w:rsid w:val="00D87194"/>
    <w:rsid w:val="00D900CA"/>
    <w:rsid w:val="00D93C3D"/>
    <w:rsid w:val="00D93E0C"/>
    <w:rsid w:val="00DA2C00"/>
    <w:rsid w:val="00DA3540"/>
    <w:rsid w:val="00DA42A1"/>
    <w:rsid w:val="00DA55F7"/>
    <w:rsid w:val="00DA68C0"/>
    <w:rsid w:val="00DB18EE"/>
    <w:rsid w:val="00DB3721"/>
    <w:rsid w:val="00DB7EEE"/>
    <w:rsid w:val="00DC08E7"/>
    <w:rsid w:val="00DC123F"/>
    <w:rsid w:val="00DC5DCD"/>
    <w:rsid w:val="00DC7FC7"/>
    <w:rsid w:val="00DD0191"/>
    <w:rsid w:val="00DD0D31"/>
    <w:rsid w:val="00DD2055"/>
    <w:rsid w:val="00DD4A41"/>
    <w:rsid w:val="00DD4E0E"/>
    <w:rsid w:val="00DD6DA0"/>
    <w:rsid w:val="00DD7083"/>
    <w:rsid w:val="00DE3DC8"/>
    <w:rsid w:val="00DF4634"/>
    <w:rsid w:val="00DF5220"/>
    <w:rsid w:val="00DF5F98"/>
    <w:rsid w:val="00DF61C4"/>
    <w:rsid w:val="00E02A5A"/>
    <w:rsid w:val="00E02AA2"/>
    <w:rsid w:val="00E071FA"/>
    <w:rsid w:val="00E07F2D"/>
    <w:rsid w:val="00E109E3"/>
    <w:rsid w:val="00E16768"/>
    <w:rsid w:val="00E20DCE"/>
    <w:rsid w:val="00E212DF"/>
    <w:rsid w:val="00E2781B"/>
    <w:rsid w:val="00E30B35"/>
    <w:rsid w:val="00E37285"/>
    <w:rsid w:val="00E40DC4"/>
    <w:rsid w:val="00E5156B"/>
    <w:rsid w:val="00E525BC"/>
    <w:rsid w:val="00E5306C"/>
    <w:rsid w:val="00E53AE1"/>
    <w:rsid w:val="00E544B6"/>
    <w:rsid w:val="00E55947"/>
    <w:rsid w:val="00E57386"/>
    <w:rsid w:val="00E61D34"/>
    <w:rsid w:val="00E61EBB"/>
    <w:rsid w:val="00E63D83"/>
    <w:rsid w:val="00E646A6"/>
    <w:rsid w:val="00E66D73"/>
    <w:rsid w:val="00E73282"/>
    <w:rsid w:val="00E80CE3"/>
    <w:rsid w:val="00E81368"/>
    <w:rsid w:val="00E85158"/>
    <w:rsid w:val="00E86ABC"/>
    <w:rsid w:val="00E920D4"/>
    <w:rsid w:val="00E9376B"/>
    <w:rsid w:val="00E93FEA"/>
    <w:rsid w:val="00E95032"/>
    <w:rsid w:val="00E97F9D"/>
    <w:rsid w:val="00EA0299"/>
    <w:rsid w:val="00EA20FE"/>
    <w:rsid w:val="00EA4FFC"/>
    <w:rsid w:val="00EB2878"/>
    <w:rsid w:val="00EC0A6C"/>
    <w:rsid w:val="00EC2CD5"/>
    <w:rsid w:val="00EC37A0"/>
    <w:rsid w:val="00EC717B"/>
    <w:rsid w:val="00EC7EF7"/>
    <w:rsid w:val="00ED55E8"/>
    <w:rsid w:val="00ED619A"/>
    <w:rsid w:val="00ED71CF"/>
    <w:rsid w:val="00EE05F3"/>
    <w:rsid w:val="00EE560F"/>
    <w:rsid w:val="00EF14CC"/>
    <w:rsid w:val="00EF1754"/>
    <w:rsid w:val="00EF2F78"/>
    <w:rsid w:val="00EF5458"/>
    <w:rsid w:val="00EF667B"/>
    <w:rsid w:val="00F000B1"/>
    <w:rsid w:val="00F019FC"/>
    <w:rsid w:val="00F0350D"/>
    <w:rsid w:val="00F04B49"/>
    <w:rsid w:val="00F05FFB"/>
    <w:rsid w:val="00F0645F"/>
    <w:rsid w:val="00F0681D"/>
    <w:rsid w:val="00F10081"/>
    <w:rsid w:val="00F1074F"/>
    <w:rsid w:val="00F137D1"/>
    <w:rsid w:val="00F16189"/>
    <w:rsid w:val="00F2097A"/>
    <w:rsid w:val="00F21FA2"/>
    <w:rsid w:val="00F225DB"/>
    <w:rsid w:val="00F229A3"/>
    <w:rsid w:val="00F22FCC"/>
    <w:rsid w:val="00F2717D"/>
    <w:rsid w:val="00F27EC5"/>
    <w:rsid w:val="00F323AA"/>
    <w:rsid w:val="00F3257A"/>
    <w:rsid w:val="00F34E60"/>
    <w:rsid w:val="00F40D59"/>
    <w:rsid w:val="00F47C46"/>
    <w:rsid w:val="00F53E43"/>
    <w:rsid w:val="00F555FD"/>
    <w:rsid w:val="00F560F8"/>
    <w:rsid w:val="00F570D0"/>
    <w:rsid w:val="00F577EF"/>
    <w:rsid w:val="00F607CD"/>
    <w:rsid w:val="00F663C5"/>
    <w:rsid w:val="00F71374"/>
    <w:rsid w:val="00F71475"/>
    <w:rsid w:val="00F72473"/>
    <w:rsid w:val="00F80A66"/>
    <w:rsid w:val="00F83228"/>
    <w:rsid w:val="00F87881"/>
    <w:rsid w:val="00F87947"/>
    <w:rsid w:val="00FA1D95"/>
    <w:rsid w:val="00FA2A1D"/>
    <w:rsid w:val="00FA3044"/>
    <w:rsid w:val="00FA3F03"/>
    <w:rsid w:val="00FA70A5"/>
    <w:rsid w:val="00FB512A"/>
    <w:rsid w:val="00FB7491"/>
    <w:rsid w:val="00FC24E2"/>
    <w:rsid w:val="00FD005C"/>
    <w:rsid w:val="00FD1168"/>
    <w:rsid w:val="00FD147E"/>
    <w:rsid w:val="00FD234F"/>
    <w:rsid w:val="00FD2695"/>
    <w:rsid w:val="00FD43F3"/>
    <w:rsid w:val="00FE044D"/>
    <w:rsid w:val="00FE0616"/>
    <w:rsid w:val="00FE3007"/>
    <w:rsid w:val="00FE5007"/>
    <w:rsid w:val="00FF24AF"/>
    <w:rsid w:val="00FF4087"/>
    <w:rsid w:val="00FF4B0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9E9FF"/>
  <w15:docId w15:val="{ADA2CA32-8FCB-4D79-9757-FC125129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9B"/>
    <w:rPr>
      <w:rFonts w:ascii="Verdana" w:hAnsi="Verdana"/>
      <w:sz w:val="19"/>
    </w:rPr>
  </w:style>
  <w:style w:type="paragraph" w:styleId="Titre1">
    <w:name w:val="heading 1"/>
    <w:aliases w:val="Document DCE"/>
    <w:basedOn w:val="Normal"/>
    <w:next w:val="Normal"/>
    <w:link w:val="Titre1Car"/>
    <w:uiPriority w:val="9"/>
    <w:qFormat/>
    <w:rsid w:val="00D81C9B"/>
    <w:pPr>
      <w:keepNext/>
      <w:keepLines/>
      <w:spacing w:before="480" w:after="0"/>
      <w:outlineLvl w:val="0"/>
    </w:pPr>
    <w:rPr>
      <w:rFonts w:eastAsia="Times New Roman" w:cs="Times New Roman"/>
      <w:b/>
      <w:bCs/>
      <w:color w:val="FF5959"/>
      <w:sz w:val="28"/>
      <w:szCs w:val="28"/>
    </w:rPr>
  </w:style>
  <w:style w:type="paragraph" w:styleId="Titre2">
    <w:name w:val="heading 2"/>
    <w:aliases w:val="ARTICLE X"/>
    <w:basedOn w:val="Normal"/>
    <w:next w:val="Normal"/>
    <w:link w:val="Titre2Car"/>
    <w:uiPriority w:val="9"/>
    <w:unhideWhenUsed/>
    <w:qFormat/>
    <w:rsid w:val="00ED71CF"/>
    <w:pPr>
      <w:keepNext/>
      <w:keepLines/>
      <w:spacing w:before="120" w:after="180" w:line="240" w:lineRule="auto"/>
      <w:outlineLvl w:val="1"/>
    </w:pPr>
    <w:rPr>
      <w:rFonts w:eastAsia="Times New Roman" w:cs="Times New Roman"/>
      <w:b/>
      <w:bCs/>
      <w:caps/>
      <w:color w:val="000000" w:themeColor="text1"/>
      <w:sz w:val="24"/>
      <w:szCs w:val="26"/>
    </w:rPr>
  </w:style>
  <w:style w:type="paragraph" w:styleId="Titre3">
    <w:name w:val="heading 3"/>
    <w:basedOn w:val="Normal"/>
    <w:next w:val="Normal"/>
    <w:link w:val="Titre3Car"/>
    <w:uiPriority w:val="9"/>
    <w:semiHidden/>
    <w:unhideWhenUsed/>
    <w:qFormat/>
    <w:rsid w:val="00AF25A1"/>
    <w:pPr>
      <w:keepNext/>
      <w:keepLines/>
      <w:spacing w:before="200" w:after="0"/>
      <w:outlineLvl w:val="2"/>
    </w:pPr>
    <w:rPr>
      <w:rFonts w:ascii="Cambria" w:eastAsia="Times New Roman" w:hAnsi="Cambria" w:cs="Times New Roman"/>
      <w:b/>
      <w:bCs/>
      <w:color w:val="2DA2BF"/>
    </w:rPr>
  </w:style>
  <w:style w:type="paragraph" w:styleId="Titre4">
    <w:name w:val="heading 4"/>
    <w:aliases w:val="Article X.x"/>
    <w:basedOn w:val="Normal"/>
    <w:next w:val="Normal"/>
    <w:link w:val="Titre4Car"/>
    <w:uiPriority w:val="9"/>
    <w:unhideWhenUsed/>
    <w:qFormat/>
    <w:rsid w:val="00163402"/>
    <w:pPr>
      <w:keepNext/>
      <w:keepLines/>
      <w:spacing w:before="180" w:after="180" w:line="240" w:lineRule="auto"/>
      <w:ind w:left="567"/>
      <w:outlineLvl w:val="3"/>
    </w:pPr>
    <w:rPr>
      <w:rFonts w:eastAsia="Times New Roman" w:cs="Times New Roman"/>
      <w:b/>
      <w:bCs/>
      <w:iCs/>
      <w:color w:val="000000" w:themeColor="text1"/>
      <w:sz w:val="20"/>
    </w:rPr>
  </w:style>
  <w:style w:type="paragraph" w:styleId="Titre5">
    <w:name w:val="heading 5"/>
    <w:aliases w:val="Article X.x.x"/>
    <w:basedOn w:val="Normal"/>
    <w:next w:val="Normal"/>
    <w:link w:val="Titre5Car"/>
    <w:uiPriority w:val="9"/>
    <w:unhideWhenUsed/>
    <w:qFormat/>
    <w:rsid w:val="00163402"/>
    <w:pPr>
      <w:keepNext/>
      <w:keepLines/>
      <w:spacing w:after="120" w:line="240" w:lineRule="auto"/>
      <w:ind w:left="1134"/>
      <w:outlineLvl w:val="4"/>
    </w:pPr>
    <w:rPr>
      <w:rFonts w:eastAsia="Times New Roman" w:cs="Times New Roman"/>
      <w:b/>
      <w:color w:val="000000" w:themeColor="text1"/>
    </w:rPr>
  </w:style>
  <w:style w:type="paragraph" w:styleId="Titre6">
    <w:name w:val="heading 6"/>
    <w:basedOn w:val="Normal"/>
    <w:next w:val="Normal"/>
    <w:link w:val="Titre6Car"/>
    <w:uiPriority w:val="9"/>
    <w:semiHidden/>
    <w:unhideWhenUsed/>
    <w:qFormat/>
    <w:rsid w:val="00AF25A1"/>
    <w:pPr>
      <w:keepNext/>
      <w:keepLines/>
      <w:spacing w:before="200" w:after="0"/>
      <w:outlineLvl w:val="5"/>
    </w:pPr>
    <w:rPr>
      <w:rFonts w:ascii="Cambria" w:eastAsia="Times New Roman" w:hAnsi="Cambria" w:cs="Times New Roman"/>
      <w:i/>
      <w:iCs/>
      <w:color w:val="16505E"/>
    </w:rPr>
  </w:style>
  <w:style w:type="paragraph" w:styleId="Titre7">
    <w:name w:val="heading 7"/>
    <w:basedOn w:val="Normal"/>
    <w:next w:val="Normal"/>
    <w:link w:val="Titre7Car"/>
    <w:uiPriority w:val="9"/>
    <w:semiHidden/>
    <w:unhideWhenUsed/>
    <w:qFormat/>
    <w:rsid w:val="00AF25A1"/>
    <w:pPr>
      <w:keepNext/>
      <w:keepLines/>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semiHidden/>
    <w:unhideWhenUsed/>
    <w:qFormat/>
    <w:rsid w:val="00AF25A1"/>
    <w:pPr>
      <w:keepNext/>
      <w:keepLines/>
      <w:spacing w:before="200" w:after="0"/>
      <w:outlineLvl w:val="7"/>
    </w:pPr>
    <w:rPr>
      <w:rFonts w:ascii="Cambria" w:eastAsia="Times New Roman" w:hAnsi="Cambria" w:cs="Times New Roman"/>
      <w:color w:val="2DA2BF"/>
      <w:sz w:val="20"/>
      <w:szCs w:val="20"/>
    </w:rPr>
  </w:style>
  <w:style w:type="paragraph" w:styleId="Titre9">
    <w:name w:val="heading 9"/>
    <w:basedOn w:val="Normal"/>
    <w:next w:val="Normal"/>
    <w:link w:val="Titre9Car"/>
    <w:uiPriority w:val="9"/>
    <w:semiHidden/>
    <w:unhideWhenUsed/>
    <w:qFormat/>
    <w:rsid w:val="00AF25A1"/>
    <w:pPr>
      <w:keepNext/>
      <w:keepLines/>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DCE Car"/>
    <w:link w:val="Titre1"/>
    <w:uiPriority w:val="9"/>
    <w:rsid w:val="00D81C9B"/>
    <w:rPr>
      <w:rFonts w:ascii="Verdana" w:eastAsia="Times New Roman" w:hAnsi="Verdana" w:cs="Times New Roman"/>
      <w:b/>
      <w:bCs/>
      <w:color w:val="FF5959"/>
      <w:sz w:val="28"/>
      <w:szCs w:val="28"/>
    </w:rPr>
  </w:style>
  <w:style w:type="character" w:customStyle="1" w:styleId="Titre2Car">
    <w:name w:val="Titre 2 Car"/>
    <w:aliases w:val="ARTICLE X Car"/>
    <w:link w:val="Titre2"/>
    <w:uiPriority w:val="9"/>
    <w:rsid w:val="00ED71CF"/>
    <w:rPr>
      <w:rFonts w:ascii="Verdana" w:eastAsia="Times New Roman" w:hAnsi="Verdana" w:cs="Times New Roman"/>
      <w:b/>
      <w:bCs/>
      <w:caps/>
      <w:color w:val="000000" w:themeColor="text1"/>
      <w:sz w:val="24"/>
      <w:szCs w:val="26"/>
    </w:rPr>
  </w:style>
  <w:style w:type="character" w:customStyle="1" w:styleId="Titre3Car">
    <w:name w:val="Titre 3 Car"/>
    <w:link w:val="Titre3"/>
    <w:uiPriority w:val="9"/>
    <w:semiHidden/>
    <w:rsid w:val="00AF25A1"/>
    <w:rPr>
      <w:rFonts w:ascii="Cambria" w:eastAsia="Times New Roman" w:hAnsi="Cambria" w:cs="Times New Roman"/>
      <w:b/>
      <w:bCs/>
      <w:color w:val="2DA2BF"/>
    </w:rPr>
  </w:style>
  <w:style w:type="character" w:customStyle="1" w:styleId="Titre4Car">
    <w:name w:val="Titre 4 Car"/>
    <w:aliases w:val="Article X.x Car"/>
    <w:link w:val="Titre4"/>
    <w:uiPriority w:val="9"/>
    <w:rsid w:val="00163402"/>
    <w:rPr>
      <w:rFonts w:ascii="Verdana" w:eastAsia="Times New Roman" w:hAnsi="Verdana" w:cs="Times New Roman"/>
      <w:b/>
      <w:bCs/>
      <w:iCs/>
      <w:color w:val="000000" w:themeColor="text1"/>
      <w:sz w:val="20"/>
    </w:rPr>
  </w:style>
  <w:style w:type="character" w:customStyle="1" w:styleId="Titre5Car">
    <w:name w:val="Titre 5 Car"/>
    <w:aliases w:val="Article X.x.x Car"/>
    <w:link w:val="Titre5"/>
    <w:uiPriority w:val="9"/>
    <w:rsid w:val="00163402"/>
    <w:rPr>
      <w:rFonts w:ascii="Verdana" w:eastAsia="Times New Roman" w:hAnsi="Verdana" w:cs="Times New Roman"/>
      <w:b/>
      <w:color w:val="000000" w:themeColor="text1"/>
      <w:sz w:val="19"/>
    </w:rPr>
  </w:style>
  <w:style w:type="character" w:customStyle="1" w:styleId="Titre6Car">
    <w:name w:val="Titre 6 Car"/>
    <w:link w:val="Titre6"/>
    <w:uiPriority w:val="9"/>
    <w:semiHidden/>
    <w:rsid w:val="00AF25A1"/>
    <w:rPr>
      <w:rFonts w:ascii="Cambria" w:eastAsia="Times New Roman" w:hAnsi="Cambria" w:cs="Times New Roman"/>
      <w:i/>
      <w:iCs/>
      <w:color w:val="16505E"/>
    </w:rPr>
  </w:style>
  <w:style w:type="character" w:customStyle="1" w:styleId="Titre7Car">
    <w:name w:val="Titre 7 Car"/>
    <w:link w:val="Titre7"/>
    <w:uiPriority w:val="9"/>
    <w:semiHidden/>
    <w:rsid w:val="00AF25A1"/>
    <w:rPr>
      <w:rFonts w:ascii="Cambria" w:eastAsia="Times New Roman" w:hAnsi="Cambria" w:cs="Times New Roman"/>
      <w:i/>
      <w:iCs/>
      <w:color w:val="404040"/>
    </w:rPr>
  </w:style>
  <w:style w:type="character" w:customStyle="1" w:styleId="Titre8Car">
    <w:name w:val="Titre 8 Car"/>
    <w:link w:val="Titre8"/>
    <w:uiPriority w:val="9"/>
    <w:semiHidden/>
    <w:rsid w:val="00AF25A1"/>
    <w:rPr>
      <w:rFonts w:ascii="Cambria" w:eastAsia="Times New Roman" w:hAnsi="Cambria" w:cs="Times New Roman"/>
      <w:color w:val="2DA2BF"/>
      <w:sz w:val="20"/>
      <w:szCs w:val="20"/>
    </w:rPr>
  </w:style>
  <w:style w:type="character" w:customStyle="1" w:styleId="Titre9Car">
    <w:name w:val="Titre 9 Car"/>
    <w:link w:val="Titre9"/>
    <w:uiPriority w:val="9"/>
    <w:semiHidden/>
    <w:rsid w:val="00AF25A1"/>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AF25A1"/>
    <w:pPr>
      <w:spacing w:line="240" w:lineRule="auto"/>
    </w:pPr>
    <w:rPr>
      <w:b/>
      <w:bCs/>
      <w:color w:val="2DA2BF"/>
      <w:sz w:val="18"/>
      <w:szCs w:val="18"/>
    </w:rPr>
  </w:style>
  <w:style w:type="paragraph" w:styleId="Titre">
    <w:name w:val="Title"/>
    <w:basedOn w:val="Normal"/>
    <w:next w:val="Normal"/>
    <w:link w:val="TitreCar"/>
    <w:uiPriority w:val="10"/>
    <w:qFormat/>
    <w:rsid w:val="00AF25A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reCar">
    <w:name w:val="Titre Car"/>
    <w:link w:val="Titre"/>
    <w:uiPriority w:val="10"/>
    <w:rsid w:val="00AF25A1"/>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AF25A1"/>
    <w:pPr>
      <w:numPr>
        <w:ilvl w:val="1"/>
      </w:numPr>
    </w:pPr>
    <w:rPr>
      <w:rFonts w:ascii="Cambria" w:eastAsia="Times New Roman" w:hAnsi="Cambria" w:cs="Times New Roman"/>
      <w:i/>
      <w:iCs/>
      <w:color w:val="2DA2BF"/>
      <w:spacing w:val="15"/>
      <w:sz w:val="24"/>
      <w:szCs w:val="24"/>
    </w:rPr>
  </w:style>
  <w:style w:type="character" w:customStyle="1" w:styleId="Sous-titreCar">
    <w:name w:val="Sous-titre Car"/>
    <w:link w:val="Sous-titre"/>
    <w:uiPriority w:val="11"/>
    <w:rsid w:val="00AF25A1"/>
    <w:rPr>
      <w:rFonts w:ascii="Cambria" w:eastAsia="Times New Roman" w:hAnsi="Cambria" w:cs="Times New Roman"/>
      <w:i/>
      <w:iCs/>
      <w:color w:val="2DA2BF"/>
      <w:spacing w:val="15"/>
      <w:sz w:val="24"/>
      <w:szCs w:val="24"/>
    </w:rPr>
  </w:style>
  <w:style w:type="character" w:styleId="lev">
    <w:name w:val="Strong"/>
    <w:uiPriority w:val="22"/>
    <w:qFormat/>
    <w:rsid w:val="00AF25A1"/>
    <w:rPr>
      <w:b/>
      <w:bCs/>
    </w:rPr>
  </w:style>
  <w:style w:type="character" w:styleId="Accentuation">
    <w:name w:val="Emphasis"/>
    <w:uiPriority w:val="20"/>
    <w:qFormat/>
    <w:rsid w:val="00AF25A1"/>
    <w:rPr>
      <w:i/>
      <w:iCs/>
    </w:rPr>
  </w:style>
  <w:style w:type="paragraph" w:styleId="Sansinterligne">
    <w:name w:val="No Spacing"/>
    <w:uiPriority w:val="1"/>
    <w:qFormat/>
    <w:rsid w:val="00AF25A1"/>
    <w:pPr>
      <w:spacing w:after="0" w:line="240" w:lineRule="auto"/>
    </w:pPr>
  </w:style>
  <w:style w:type="paragraph" w:styleId="Paragraphedeliste">
    <w:name w:val="List Paragraph"/>
    <w:basedOn w:val="Normal"/>
    <w:uiPriority w:val="34"/>
    <w:qFormat/>
    <w:rsid w:val="00AF25A1"/>
    <w:pPr>
      <w:ind w:left="720"/>
      <w:contextualSpacing/>
    </w:pPr>
  </w:style>
  <w:style w:type="paragraph" w:styleId="Citation">
    <w:name w:val="Quote"/>
    <w:basedOn w:val="Normal"/>
    <w:next w:val="Normal"/>
    <w:link w:val="CitationCar"/>
    <w:uiPriority w:val="29"/>
    <w:qFormat/>
    <w:rsid w:val="00AF25A1"/>
    <w:rPr>
      <w:i/>
      <w:iCs/>
      <w:color w:val="000000"/>
    </w:rPr>
  </w:style>
  <w:style w:type="character" w:customStyle="1" w:styleId="CitationCar">
    <w:name w:val="Citation Car"/>
    <w:link w:val="Citation"/>
    <w:uiPriority w:val="29"/>
    <w:rsid w:val="00AF25A1"/>
    <w:rPr>
      <w:i/>
      <w:iCs/>
      <w:color w:val="000000"/>
    </w:rPr>
  </w:style>
  <w:style w:type="paragraph" w:styleId="Citationintense">
    <w:name w:val="Intense Quote"/>
    <w:basedOn w:val="Normal"/>
    <w:next w:val="Normal"/>
    <w:link w:val="CitationintenseCar"/>
    <w:uiPriority w:val="30"/>
    <w:qFormat/>
    <w:rsid w:val="00AF25A1"/>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AF25A1"/>
    <w:rPr>
      <w:b/>
      <w:bCs/>
      <w:i/>
      <w:iCs/>
      <w:color w:val="2DA2BF"/>
    </w:rPr>
  </w:style>
  <w:style w:type="character" w:styleId="Accentuationlgre">
    <w:name w:val="Subtle Emphasis"/>
    <w:uiPriority w:val="19"/>
    <w:qFormat/>
    <w:rsid w:val="00AF25A1"/>
    <w:rPr>
      <w:i/>
      <w:iCs/>
      <w:color w:val="808080"/>
    </w:rPr>
  </w:style>
  <w:style w:type="character" w:styleId="Accentuationintense">
    <w:name w:val="Intense Emphasis"/>
    <w:uiPriority w:val="21"/>
    <w:qFormat/>
    <w:rsid w:val="00AF25A1"/>
    <w:rPr>
      <w:b/>
      <w:bCs/>
      <w:i/>
      <w:iCs/>
      <w:color w:val="2DA2BF"/>
    </w:rPr>
  </w:style>
  <w:style w:type="character" w:styleId="Rfrencelgre">
    <w:name w:val="Subtle Reference"/>
    <w:uiPriority w:val="31"/>
    <w:qFormat/>
    <w:rsid w:val="00AF25A1"/>
    <w:rPr>
      <w:smallCaps/>
      <w:color w:val="DA1F28"/>
      <w:u w:val="single"/>
    </w:rPr>
  </w:style>
  <w:style w:type="character" w:styleId="Rfrenceintense">
    <w:name w:val="Intense Reference"/>
    <w:uiPriority w:val="32"/>
    <w:qFormat/>
    <w:rsid w:val="00AF25A1"/>
    <w:rPr>
      <w:b/>
      <w:bCs/>
      <w:smallCaps/>
      <w:color w:val="DA1F28"/>
      <w:spacing w:val="5"/>
      <w:u w:val="single"/>
    </w:rPr>
  </w:style>
  <w:style w:type="character" w:styleId="Titredulivre">
    <w:name w:val="Book Title"/>
    <w:uiPriority w:val="33"/>
    <w:qFormat/>
    <w:rsid w:val="00AF25A1"/>
    <w:rPr>
      <w:b/>
      <w:bCs/>
      <w:smallCaps/>
      <w:spacing w:val="5"/>
    </w:rPr>
  </w:style>
  <w:style w:type="paragraph" w:styleId="En-ttedetabledesmatires">
    <w:name w:val="TOC Heading"/>
    <w:basedOn w:val="Titre1"/>
    <w:next w:val="Normal"/>
    <w:uiPriority w:val="39"/>
    <w:unhideWhenUsed/>
    <w:qFormat/>
    <w:rsid w:val="00AF25A1"/>
    <w:pPr>
      <w:outlineLvl w:val="9"/>
    </w:pPr>
  </w:style>
  <w:style w:type="table" w:styleId="Grilledutableau">
    <w:name w:val="Table Grid"/>
    <w:basedOn w:val="TableauNormal"/>
    <w:uiPriority w:val="59"/>
    <w:rsid w:val="00D8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24EF6"/>
    <w:pPr>
      <w:suppressAutoHyphens/>
      <w:spacing w:after="0" w:line="240" w:lineRule="auto"/>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rsid w:val="00724EF6"/>
    <w:rPr>
      <w:rFonts w:ascii="Univers" w:eastAsia="Times New Roman" w:hAnsi="Univers" w:cs="Univers"/>
      <w:sz w:val="20"/>
      <w:szCs w:val="20"/>
      <w:lang w:eastAsia="zh-CN"/>
    </w:rPr>
  </w:style>
  <w:style w:type="character" w:styleId="Appelnotedebasdep">
    <w:name w:val="footnote reference"/>
    <w:uiPriority w:val="99"/>
    <w:unhideWhenUsed/>
    <w:rsid w:val="00724EF6"/>
    <w:rPr>
      <w:vertAlign w:val="superscript"/>
    </w:rPr>
  </w:style>
  <w:style w:type="paragraph" w:customStyle="1" w:styleId="StyleListecontinueNonGras">
    <w:name w:val="Style Liste continue + Non Gras"/>
    <w:basedOn w:val="Listecontinue"/>
    <w:autoRedefine/>
    <w:rsid w:val="00097E4E"/>
    <w:pPr>
      <w:spacing w:after="0" w:line="240" w:lineRule="auto"/>
      <w:ind w:left="0"/>
      <w:contextualSpacing w:val="0"/>
    </w:pPr>
    <w:rPr>
      <w:rFonts w:eastAsia="Times New Roman" w:cs="Arial"/>
      <w:color w:val="000000" w:themeColor="text1"/>
      <w:szCs w:val="19"/>
      <w:lang w:eastAsia="fr-FR"/>
    </w:rPr>
  </w:style>
  <w:style w:type="paragraph" w:styleId="Listecontinue">
    <w:name w:val="List Continue"/>
    <w:basedOn w:val="Normal"/>
    <w:uiPriority w:val="99"/>
    <w:semiHidden/>
    <w:unhideWhenUsed/>
    <w:rsid w:val="00345184"/>
    <w:pPr>
      <w:spacing w:after="120"/>
      <w:ind w:left="283"/>
      <w:contextualSpacing/>
    </w:pPr>
  </w:style>
  <w:style w:type="character" w:styleId="Marquedecommentaire">
    <w:name w:val="annotation reference"/>
    <w:rsid w:val="0034503F"/>
    <w:rPr>
      <w:sz w:val="16"/>
      <w:szCs w:val="16"/>
    </w:rPr>
  </w:style>
  <w:style w:type="paragraph" w:styleId="Commentaire">
    <w:name w:val="annotation text"/>
    <w:basedOn w:val="Normal"/>
    <w:link w:val="CommentaireCar"/>
    <w:rsid w:val="0034503F"/>
    <w:pPr>
      <w:spacing w:after="0" w:line="240" w:lineRule="auto"/>
    </w:pPr>
    <w:rPr>
      <w:rFonts w:ascii="Helvetica" w:eastAsia="Times New Roman" w:hAnsi="Helvetica" w:cs="Times New Roman"/>
      <w:sz w:val="20"/>
      <w:szCs w:val="20"/>
      <w:lang w:eastAsia="fr-FR"/>
    </w:rPr>
  </w:style>
  <w:style w:type="character" w:customStyle="1" w:styleId="CommentaireCar">
    <w:name w:val="Commentaire Car"/>
    <w:basedOn w:val="Policepardfaut"/>
    <w:link w:val="Commentaire"/>
    <w:rsid w:val="0034503F"/>
    <w:rPr>
      <w:rFonts w:ascii="Helvetica" w:eastAsia="Times New Roman" w:hAnsi="Helvetica" w:cs="Times New Roman"/>
      <w:sz w:val="20"/>
      <w:szCs w:val="20"/>
      <w:lang w:eastAsia="fr-FR"/>
    </w:rPr>
  </w:style>
  <w:style w:type="paragraph" w:styleId="NormalWeb">
    <w:name w:val="Normal (Web)"/>
    <w:basedOn w:val="Normal"/>
    <w:uiPriority w:val="99"/>
    <w:unhideWhenUsed/>
    <w:rsid w:val="00EF5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6F1"/>
    <w:rPr>
      <w:rFonts w:ascii="Tahoma" w:hAnsi="Tahoma" w:cs="Tahoma"/>
      <w:sz w:val="16"/>
      <w:szCs w:val="16"/>
    </w:rPr>
  </w:style>
  <w:style w:type="character" w:styleId="Lienhypertexte">
    <w:name w:val="Hyperlink"/>
    <w:basedOn w:val="Policepardfaut"/>
    <w:uiPriority w:val="99"/>
    <w:unhideWhenUsed/>
    <w:rsid w:val="00DC123F"/>
    <w:rPr>
      <w:color w:val="0000FF" w:themeColor="hyperlink"/>
      <w:u w:val="single"/>
    </w:rPr>
  </w:style>
  <w:style w:type="character" w:customStyle="1" w:styleId="prix">
    <w:name w:val="prix"/>
    <w:basedOn w:val="Policepardfaut"/>
    <w:rsid w:val="00C15C82"/>
  </w:style>
  <w:style w:type="paragraph" w:styleId="TM1">
    <w:name w:val="toc 1"/>
    <w:basedOn w:val="Normal"/>
    <w:next w:val="Normal"/>
    <w:autoRedefine/>
    <w:uiPriority w:val="39"/>
    <w:unhideWhenUsed/>
    <w:rsid w:val="00D351E4"/>
    <w:pPr>
      <w:spacing w:after="100"/>
    </w:pPr>
  </w:style>
  <w:style w:type="paragraph" w:styleId="TM2">
    <w:name w:val="toc 2"/>
    <w:basedOn w:val="Normal"/>
    <w:next w:val="Normal"/>
    <w:autoRedefine/>
    <w:uiPriority w:val="39"/>
    <w:unhideWhenUsed/>
    <w:rsid w:val="00D351E4"/>
    <w:pPr>
      <w:spacing w:after="100"/>
      <w:ind w:left="190"/>
    </w:pPr>
  </w:style>
  <w:style w:type="paragraph" w:styleId="TM3">
    <w:name w:val="toc 3"/>
    <w:basedOn w:val="Normal"/>
    <w:next w:val="Normal"/>
    <w:autoRedefine/>
    <w:uiPriority w:val="39"/>
    <w:unhideWhenUsed/>
    <w:rsid w:val="00AD6C2A"/>
    <w:pPr>
      <w:spacing w:after="100"/>
      <w:ind w:left="380"/>
    </w:pPr>
  </w:style>
  <w:style w:type="paragraph" w:styleId="TM4">
    <w:name w:val="toc 4"/>
    <w:basedOn w:val="Normal"/>
    <w:next w:val="Normal"/>
    <w:autoRedefine/>
    <w:uiPriority w:val="39"/>
    <w:unhideWhenUsed/>
    <w:rsid w:val="00AD6C2A"/>
    <w:pPr>
      <w:spacing w:after="100"/>
      <w:ind w:left="570"/>
    </w:pPr>
  </w:style>
  <w:style w:type="paragraph" w:styleId="TM5">
    <w:name w:val="toc 5"/>
    <w:basedOn w:val="Normal"/>
    <w:next w:val="Normal"/>
    <w:autoRedefine/>
    <w:uiPriority w:val="39"/>
    <w:unhideWhenUsed/>
    <w:rsid w:val="00AD6C2A"/>
    <w:pPr>
      <w:spacing w:after="100"/>
      <w:ind w:left="880"/>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AD6C2A"/>
    <w:pPr>
      <w:spacing w:after="100"/>
      <w:ind w:left="1100"/>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AD6C2A"/>
    <w:pPr>
      <w:spacing w:after="100"/>
      <w:ind w:left="1320"/>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AD6C2A"/>
    <w:pPr>
      <w:spacing w:after="100"/>
      <w:ind w:left="1540"/>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AD6C2A"/>
    <w:pPr>
      <w:spacing w:after="100"/>
      <w:ind w:left="1760"/>
    </w:pPr>
    <w:rPr>
      <w:rFonts w:asciiTheme="minorHAnsi" w:eastAsiaTheme="minorEastAsia" w:hAnsiTheme="minorHAnsi"/>
      <w:sz w:val="22"/>
      <w:lang w:eastAsia="fr-FR"/>
    </w:rPr>
  </w:style>
  <w:style w:type="paragraph" w:styleId="Objetducommentaire">
    <w:name w:val="annotation subject"/>
    <w:basedOn w:val="Commentaire"/>
    <w:next w:val="Commentaire"/>
    <w:link w:val="ObjetducommentaireCar"/>
    <w:uiPriority w:val="99"/>
    <w:semiHidden/>
    <w:unhideWhenUsed/>
    <w:rsid w:val="008D0865"/>
    <w:pPr>
      <w:spacing w:after="200"/>
    </w:pPr>
    <w:rPr>
      <w:rFonts w:ascii="Verdana" w:eastAsiaTheme="minorHAnsi" w:hAnsi="Verdana" w:cstheme="minorBidi"/>
      <w:b/>
      <w:bCs/>
      <w:lang w:eastAsia="en-US"/>
    </w:rPr>
  </w:style>
  <w:style w:type="character" w:customStyle="1" w:styleId="ObjetducommentaireCar">
    <w:name w:val="Objet du commentaire Car"/>
    <w:basedOn w:val="CommentaireCar"/>
    <w:link w:val="Objetducommentaire"/>
    <w:uiPriority w:val="99"/>
    <w:semiHidden/>
    <w:rsid w:val="008D0865"/>
    <w:rPr>
      <w:rFonts w:ascii="Verdana" w:eastAsia="Times New Roman" w:hAnsi="Verdana" w:cs="Times New Roman"/>
      <w:b/>
      <w:bCs/>
      <w:sz w:val="20"/>
      <w:szCs w:val="20"/>
      <w:lang w:eastAsia="fr-FR"/>
    </w:rPr>
  </w:style>
  <w:style w:type="paragraph" w:styleId="En-tte">
    <w:name w:val="header"/>
    <w:basedOn w:val="Normal"/>
    <w:link w:val="En-tteCar"/>
    <w:uiPriority w:val="99"/>
    <w:unhideWhenUsed/>
    <w:rsid w:val="00F80A66"/>
    <w:pPr>
      <w:tabs>
        <w:tab w:val="center" w:pos="4536"/>
        <w:tab w:val="right" w:pos="9072"/>
      </w:tabs>
      <w:spacing w:after="0" w:line="240" w:lineRule="auto"/>
    </w:pPr>
  </w:style>
  <w:style w:type="character" w:customStyle="1" w:styleId="En-tteCar">
    <w:name w:val="En-tête Car"/>
    <w:basedOn w:val="Policepardfaut"/>
    <w:link w:val="En-tte"/>
    <w:uiPriority w:val="99"/>
    <w:rsid w:val="00F80A66"/>
    <w:rPr>
      <w:rFonts w:ascii="Verdana" w:hAnsi="Verdana"/>
      <w:sz w:val="19"/>
    </w:rPr>
  </w:style>
  <w:style w:type="paragraph" w:styleId="Pieddepage">
    <w:name w:val="footer"/>
    <w:basedOn w:val="Normal"/>
    <w:link w:val="PieddepageCar"/>
    <w:uiPriority w:val="99"/>
    <w:unhideWhenUsed/>
    <w:rsid w:val="00F80A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A66"/>
    <w:rPr>
      <w:rFonts w:ascii="Verdana" w:hAnsi="Verdana"/>
      <w:sz w:val="19"/>
    </w:rPr>
  </w:style>
  <w:style w:type="paragraph" w:styleId="Rvision">
    <w:name w:val="Revision"/>
    <w:hidden/>
    <w:uiPriority w:val="99"/>
    <w:semiHidden/>
    <w:rsid w:val="00DA68C0"/>
    <w:pPr>
      <w:spacing w:after="0" w:line="240" w:lineRule="auto"/>
    </w:pPr>
    <w:rPr>
      <w:rFonts w:ascii="Verdana" w:hAnsi="Verdana"/>
      <w:sz w:val="19"/>
    </w:rPr>
  </w:style>
  <w:style w:type="paragraph" w:customStyle="1" w:styleId="fcase1ertab">
    <w:name w:val="f_case_1ertab"/>
    <w:basedOn w:val="Normal"/>
    <w:rsid w:val="007E5542"/>
    <w:pPr>
      <w:tabs>
        <w:tab w:val="left" w:pos="426"/>
      </w:tabs>
      <w:suppressAutoHyphens/>
      <w:spacing w:after="0" w:line="240" w:lineRule="auto"/>
      <w:ind w:left="709" w:hanging="709"/>
      <w:jc w:val="both"/>
    </w:pPr>
    <w:rPr>
      <w:rFonts w:ascii="Univers" w:eastAsia="Times New Roman" w:hAnsi="Univers" w:cs="Univers"/>
      <w:sz w:val="20"/>
      <w:szCs w:val="20"/>
      <w:lang w:eastAsia="zh-CN"/>
    </w:rPr>
  </w:style>
  <w:style w:type="paragraph" w:customStyle="1" w:styleId="Default">
    <w:name w:val="Default"/>
    <w:rsid w:val="002D719D"/>
    <w:pPr>
      <w:autoSpaceDE w:val="0"/>
      <w:autoSpaceDN w:val="0"/>
      <w:adjustRightInd w:val="0"/>
      <w:spacing w:after="0" w:line="240" w:lineRule="auto"/>
    </w:pPr>
    <w:rPr>
      <w:rFonts w:ascii="Calibri" w:hAnsi="Calibri" w:cs="Calibri"/>
      <w:color w:val="000000"/>
      <w:sz w:val="24"/>
      <w:szCs w:val="24"/>
    </w:rPr>
  </w:style>
  <w:style w:type="paragraph" w:customStyle="1" w:styleId="pf0">
    <w:name w:val="pf0"/>
    <w:basedOn w:val="Normal"/>
    <w:rsid w:val="000030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f01">
    <w:name w:val="cf01"/>
    <w:basedOn w:val="Policepardfaut"/>
    <w:rsid w:val="000030B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2516">
      <w:bodyDiv w:val="1"/>
      <w:marLeft w:val="0"/>
      <w:marRight w:val="0"/>
      <w:marTop w:val="0"/>
      <w:marBottom w:val="0"/>
      <w:divBdr>
        <w:top w:val="none" w:sz="0" w:space="0" w:color="auto"/>
        <w:left w:val="none" w:sz="0" w:space="0" w:color="auto"/>
        <w:bottom w:val="none" w:sz="0" w:space="0" w:color="auto"/>
        <w:right w:val="none" w:sz="0" w:space="0" w:color="auto"/>
      </w:divBdr>
    </w:div>
    <w:div w:id="171797003">
      <w:bodyDiv w:val="1"/>
      <w:marLeft w:val="0"/>
      <w:marRight w:val="0"/>
      <w:marTop w:val="0"/>
      <w:marBottom w:val="0"/>
      <w:divBdr>
        <w:top w:val="none" w:sz="0" w:space="0" w:color="auto"/>
        <w:left w:val="none" w:sz="0" w:space="0" w:color="auto"/>
        <w:bottom w:val="none" w:sz="0" w:space="0" w:color="auto"/>
        <w:right w:val="none" w:sz="0" w:space="0" w:color="auto"/>
      </w:divBdr>
      <w:divsChild>
        <w:div w:id="1959683329">
          <w:marLeft w:val="0"/>
          <w:marRight w:val="0"/>
          <w:marTop w:val="0"/>
          <w:marBottom w:val="0"/>
          <w:divBdr>
            <w:top w:val="none" w:sz="0" w:space="0" w:color="auto"/>
            <w:left w:val="none" w:sz="0" w:space="0" w:color="auto"/>
            <w:bottom w:val="none" w:sz="0" w:space="0" w:color="auto"/>
            <w:right w:val="none" w:sz="0" w:space="0" w:color="auto"/>
          </w:divBdr>
        </w:div>
        <w:div w:id="1833332675">
          <w:marLeft w:val="0"/>
          <w:marRight w:val="0"/>
          <w:marTop w:val="0"/>
          <w:marBottom w:val="0"/>
          <w:divBdr>
            <w:top w:val="none" w:sz="0" w:space="0" w:color="auto"/>
            <w:left w:val="none" w:sz="0" w:space="0" w:color="auto"/>
            <w:bottom w:val="none" w:sz="0" w:space="0" w:color="auto"/>
            <w:right w:val="none" w:sz="0" w:space="0" w:color="auto"/>
          </w:divBdr>
        </w:div>
        <w:div w:id="633561702">
          <w:marLeft w:val="0"/>
          <w:marRight w:val="0"/>
          <w:marTop w:val="0"/>
          <w:marBottom w:val="0"/>
          <w:divBdr>
            <w:top w:val="none" w:sz="0" w:space="0" w:color="auto"/>
            <w:left w:val="none" w:sz="0" w:space="0" w:color="auto"/>
            <w:bottom w:val="none" w:sz="0" w:space="0" w:color="auto"/>
            <w:right w:val="none" w:sz="0" w:space="0" w:color="auto"/>
          </w:divBdr>
        </w:div>
        <w:div w:id="353189523">
          <w:marLeft w:val="0"/>
          <w:marRight w:val="0"/>
          <w:marTop w:val="0"/>
          <w:marBottom w:val="0"/>
          <w:divBdr>
            <w:top w:val="none" w:sz="0" w:space="0" w:color="auto"/>
            <w:left w:val="none" w:sz="0" w:space="0" w:color="auto"/>
            <w:bottom w:val="none" w:sz="0" w:space="0" w:color="auto"/>
            <w:right w:val="none" w:sz="0" w:space="0" w:color="auto"/>
          </w:divBdr>
        </w:div>
        <w:div w:id="698314009">
          <w:marLeft w:val="0"/>
          <w:marRight w:val="0"/>
          <w:marTop w:val="0"/>
          <w:marBottom w:val="0"/>
          <w:divBdr>
            <w:top w:val="none" w:sz="0" w:space="0" w:color="auto"/>
            <w:left w:val="none" w:sz="0" w:space="0" w:color="auto"/>
            <w:bottom w:val="none" w:sz="0" w:space="0" w:color="auto"/>
            <w:right w:val="none" w:sz="0" w:space="0" w:color="auto"/>
          </w:divBdr>
        </w:div>
        <w:div w:id="284579810">
          <w:marLeft w:val="0"/>
          <w:marRight w:val="0"/>
          <w:marTop w:val="0"/>
          <w:marBottom w:val="0"/>
          <w:divBdr>
            <w:top w:val="none" w:sz="0" w:space="0" w:color="auto"/>
            <w:left w:val="none" w:sz="0" w:space="0" w:color="auto"/>
            <w:bottom w:val="none" w:sz="0" w:space="0" w:color="auto"/>
            <w:right w:val="none" w:sz="0" w:space="0" w:color="auto"/>
          </w:divBdr>
        </w:div>
        <w:div w:id="558442370">
          <w:marLeft w:val="0"/>
          <w:marRight w:val="0"/>
          <w:marTop w:val="0"/>
          <w:marBottom w:val="0"/>
          <w:divBdr>
            <w:top w:val="none" w:sz="0" w:space="0" w:color="auto"/>
            <w:left w:val="none" w:sz="0" w:space="0" w:color="auto"/>
            <w:bottom w:val="none" w:sz="0" w:space="0" w:color="auto"/>
            <w:right w:val="none" w:sz="0" w:space="0" w:color="auto"/>
          </w:divBdr>
        </w:div>
        <w:div w:id="1127091263">
          <w:marLeft w:val="0"/>
          <w:marRight w:val="0"/>
          <w:marTop w:val="0"/>
          <w:marBottom w:val="0"/>
          <w:divBdr>
            <w:top w:val="none" w:sz="0" w:space="0" w:color="auto"/>
            <w:left w:val="none" w:sz="0" w:space="0" w:color="auto"/>
            <w:bottom w:val="none" w:sz="0" w:space="0" w:color="auto"/>
            <w:right w:val="none" w:sz="0" w:space="0" w:color="auto"/>
          </w:divBdr>
        </w:div>
        <w:div w:id="1757752230">
          <w:marLeft w:val="0"/>
          <w:marRight w:val="0"/>
          <w:marTop w:val="0"/>
          <w:marBottom w:val="0"/>
          <w:divBdr>
            <w:top w:val="none" w:sz="0" w:space="0" w:color="auto"/>
            <w:left w:val="none" w:sz="0" w:space="0" w:color="auto"/>
            <w:bottom w:val="none" w:sz="0" w:space="0" w:color="auto"/>
            <w:right w:val="none" w:sz="0" w:space="0" w:color="auto"/>
          </w:divBdr>
        </w:div>
        <w:div w:id="496921053">
          <w:marLeft w:val="0"/>
          <w:marRight w:val="0"/>
          <w:marTop w:val="0"/>
          <w:marBottom w:val="0"/>
          <w:divBdr>
            <w:top w:val="none" w:sz="0" w:space="0" w:color="auto"/>
            <w:left w:val="none" w:sz="0" w:space="0" w:color="auto"/>
            <w:bottom w:val="none" w:sz="0" w:space="0" w:color="auto"/>
            <w:right w:val="none" w:sz="0" w:space="0" w:color="auto"/>
          </w:divBdr>
        </w:div>
        <w:div w:id="1700659681">
          <w:marLeft w:val="0"/>
          <w:marRight w:val="0"/>
          <w:marTop w:val="0"/>
          <w:marBottom w:val="0"/>
          <w:divBdr>
            <w:top w:val="none" w:sz="0" w:space="0" w:color="auto"/>
            <w:left w:val="none" w:sz="0" w:space="0" w:color="auto"/>
            <w:bottom w:val="none" w:sz="0" w:space="0" w:color="auto"/>
            <w:right w:val="none" w:sz="0" w:space="0" w:color="auto"/>
          </w:divBdr>
        </w:div>
      </w:divsChild>
    </w:div>
    <w:div w:id="199973710">
      <w:bodyDiv w:val="1"/>
      <w:marLeft w:val="0"/>
      <w:marRight w:val="0"/>
      <w:marTop w:val="0"/>
      <w:marBottom w:val="0"/>
      <w:divBdr>
        <w:top w:val="none" w:sz="0" w:space="0" w:color="auto"/>
        <w:left w:val="none" w:sz="0" w:space="0" w:color="auto"/>
        <w:bottom w:val="none" w:sz="0" w:space="0" w:color="auto"/>
        <w:right w:val="none" w:sz="0" w:space="0" w:color="auto"/>
      </w:divBdr>
    </w:div>
    <w:div w:id="285162321">
      <w:bodyDiv w:val="1"/>
      <w:marLeft w:val="0"/>
      <w:marRight w:val="0"/>
      <w:marTop w:val="0"/>
      <w:marBottom w:val="0"/>
      <w:divBdr>
        <w:top w:val="none" w:sz="0" w:space="0" w:color="auto"/>
        <w:left w:val="none" w:sz="0" w:space="0" w:color="auto"/>
        <w:bottom w:val="none" w:sz="0" w:space="0" w:color="auto"/>
        <w:right w:val="none" w:sz="0" w:space="0" w:color="auto"/>
      </w:divBdr>
    </w:div>
    <w:div w:id="293023103">
      <w:bodyDiv w:val="1"/>
      <w:marLeft w:val="0"/>
      <w:marRight w:val="0"/>
      <w:marTop w:val="0"/>
      <w:marBottom w:val="0"/>
      <w:divBdr>
        <w:top w:val="none" w:sz="0" w:space="0" w:color="auto"/>
        <w:left w:val="none" w:sz="0" w:space="0" w:color="auto"/>
        <w:bottom w:val="none" w:sz="0" w:space="0" w:color="auto"/>
        <w:right w:val="none" w:sz="0" w:space="0" w:color="auto"/>
      </w:divBdr>
    </w:div>
    <w:div w:id="523638633">
      <w:bodyDiv w:val="1"/>
      <w:marLeft w:val="0"/>
      <w:marRight w:val="0"/>
      <w:marTop w:val="0"/>
      <w:marBottom w:val="0"/>
      <w:divBdr>
        <w:top w:val="none" w:sz="0" w:space="0" w:color="auto"/>
        <w:left w:val="none" w:sz="0" w:space="0" w:color="auto"/>
        <w:bottom w:val="none" w:sz="0" w:space="0" w:color="auto"/>
        <w:right w:val="none" w:sz="0" w:space="0" w:color="auto"/>
      </w:divBdr>
    </w:div>
    <w:div w:id="606548679">
      <w:bodyDiv w:val="1"/>
      <w:marLeft w:val="0"/>
      <w:marRight w:val="0"/>
      <w:marTop w:val="0"/>
      <w:marBottom w:val="0"/>
      <w:divBdr>
        <w:top w:val="none" w:sz="0" w:space="0" w:color="auto"/>
        <w:left w:val="none" w:sz="0" w:space="0" w:color="auto"/>
        <w:bottom w:val="none" w:sz="0" w:space="0" w:color="auto"/>
        <w:right w:val="none" w:sz="0" w:space="0" w:color="auto"/>
      </w:divBdr>
    </w:div>
    <w:div w:id="926496566">
      <w:bodyDiv w:val="1"/>
      <w:marLeft w:val="0"/>
      <w:marRight w:val="0"/>
      <w:marTop w:val="0"/>
      <w:marBottom w:val="0"/>
      <w:divBdr>
        <w:top w:val="none" w:sz="0" w:space="0" w:color="auto"/>
        <w:left w:val="none" w:sz="0" w:space="0" w:color="auto"/>
        <w:bottom w:val="none" w:sz="0" w:space="0" w:color="auto"/>
        <w:right w:val="none" w:sz="0" w:space="0" w:color="auto"/>
      </w:divBdr>
    </w:div>
    <w:div w:id="1011837257">
      <w:bodyDiv w:val="1"/>
      <w:marLeft w:val="0"/>
      <w:marRight w:val="0"/>
      <w:marTop w:val="0"/>
      <w:marBottom w:val="0"/>
      <w:divBdr>
        <w:top w:val="none" w:sz="0" w:space="0" w:color="auto"/>
        <w:left w:val="none" w:sz="0" w:space="0" w:color="auto"/>
        <w:bottom w:val="none" w:sz="0" w:space="0" w:color="auto"/>
        <w:right w:val="none" w:sz="0" w:space="0" w:color="auto"/>
      </w:divBdr>
    </w:div>
    <w:div w:id="1016231428">
      <w:bodyDiv w:val="1"/>
      <w:marLeft w:val="0"/>
      <w:marRight w:val="0"/>
      <w:marTop w:val="0"/>
      <w:marBottom w:val="0"/>
      <w:divBdr>
        <w:top w:val="none" w:sz="0" w:space="0" w:color="auto"/>
        <w:left w:val="none" w:sz="0" w:space="0" w:color="auto"/>
        <w:bottom w:val="none" w:sz="0" w:space="0" w:color="auto"/>
        <w:right w:val="none" w:sz="0" w:space="0" w:color="auto"/>
      </w:divBdr>
    </w:div>
    <w:div w:id="1478572204">
      <w:bodyDiv w:val="1"/>
      <w:marLeft w:val="0"/>
      <w:marRight w:val="0"/>
      <w:marTop w:val="0"/>
      <w:marBottom w:val="0"/>
      <w:divBdr>
        <w:top w:val="none" w:sz="0" w:space="0" w:color="auto"/>
        <w:left w:val="none" w:sz="0" w:space="0" w:color="auto"/>
        <w:bottom w:val="none" w:sz="0" w:space="0" w:color="auto"/>
        <w:right w:val="none" w:sz="0" w:space="0" w:color="auto"/>
      </w:divBdr>
    </w:div>
    <w:div w:id="1568955255">
      <w:bodyDiv w:val="1"/>
      <w:marLeft w:val="0"/>
      <w:marRight w:val="0"/>
      <w:marTop w:val="0"/>
      <w:marBottom w:val="0"/>
      <w:divBdr>
        <w:top w:val="none" w:sz="0" w:space="0" w:color="auto"/>
        <w:left w:val="none" w:sz="0" w:space="0" w:color="auto"/>
        <w:bottom w:val="none" w:sz="0" w:space="0" w:color="auto"/>
        <w:right w:val="none" w:sz="0" w:space="0" w:color="auto"/>
      </w:divBdr>
    </w:div>
    <w:div w:id="1675182007">
      <w:bodyDiv w:val="1"/>
      <w:marLeft w:val="0"/>
      <w:marRight w:val="0"/>
      <w:marTop w:val="0"/>
      <w:marBottom w:val="0"/>
      <w:divBdr>
        <w:top w:val="none" w:sz="0" w:space="0" w:color="auto"/>
        <w:left w:val="none" w:sz="0" w:space="0" w:color="auto"/>
        <w:bottom w:val="none" w:sz="0" w:space="0" w:color="auto"/>
        <w:right w:val="none" w:sz="0" w:space="0" w:color="auto"/>
      </w:divBdr>
      <w:divsChild>
        <w:div w:id="671420242">
          <w:marLeft w:val="0"/>
          <w:marRight w:val="0"/>
          <w:marTop w:val="0"/>
          <w:marBottom w:val="0"/>
          <w:divBdr>
            <w:top w:val="none" w:sz="0" w:space="0" w:color="auto"/>
            <w:left w:val="none" w:sz="0" w:space="0" w:color="auto"/>
            <w:bottom w:val="none" w:sz="0" w:space="0" w:color="auto"/>
            <w:right w:val="none" w:sz="0" w:space="0" w:color="auto"/>
          </w:divBdr>
        </w:div>
        <w:div w:id="1339304927">
          <w:marLeft w:val="0"/>
          <w:marRight w:val="0"/>
          <w:marTop w:val="0"/>
          <w:marBottom w:val="0"/>
          <w:divBdr>
            <w:top w:val="none" w:sz="0" w:space="0" w:color="auto"/>
            <w:left w:val="none" w:sz="0" w:space="0" w:color="auto"/>
            <w:bottom w:val="none" w:sz="0" w:space="0" w:color="auto"/>
            <w:right w:val="none" w:sz="0" w:space="0" w:color="auto"/>
          </w:divBdr>
        </w:div>
        <w:div w:id="389035899">
          <w:marLeft w:val="0"/>
          <w:marRight w:val="0"/>
          <w:marTop w:val="0"/>
          <w:marBottom w:val="0"/>
          <w:divBdr>
            <w:top w:val="none" w:sz="0" w:space="0" w:color="auto"/>
            <w:left w:val="none" w:sz="0" w:space="0" w:color="auto"/>
            <w:bottom w:val="none" w:sz="0" w:space="0" w:color="auto"/>
            <w:right w:val="none" w:sz="0" w:space="0" w:color="auto"/>
          </w:divBdr>
        </w:div>
        <w:div w:id="1907491957">
          <w:marLeft w:val="0"/>
          <w:marRight w:val="0"/>
          <w:marTop w:val="0"/>
          <w:marBottom w:val="0"/>
          <w:divBdr>
            <w:top w:val="none" w:sz="0" w:space="0" w:color="auto"/>
            <w:left w:val="none" w:sz="0" w:space="0" w:color="auto"/>
            <w:bottom w:val="none" w:sz="0" w:space="0" w:color="auto"/>
            <w:right w:val="none" w:sz="0" w:space="0" w:color="auto"/>
          </w:divBdr>
        </w:div>
        <w:div w:id="131993421">
          <w:marLeft w:val="0"/>
          <w:marRight w:val="0"/>
          <w:marTop w:val="0"/>
          <w:marBottom w:val="0"/>
          <w:divBdr>
            <w:top w:val="none" w:sz="0" w:space="0" w:color="auto"/>
            <w:left w:val="none" w:sz="0" w:space="0" w:color="auto"/>
            <w:bottom w:val="none" w:sz="0" w:space="0" w:color="auto"/>
            <w:right w:val="none" w:sz="0" w:space="0" w:color="auto"/>
          </w:divBdr>
        </w:div>
        <w:div w:id="282923599">
          <w:marLeft w:val="0"/>
          <w:marRight w:val="0"/>
          <w:marTop w:val="0"/>
          <w:marBottom w:val="0"/>
          <w:divBdr>
            <w:top w:val="none" w:sz="0" w:space="0" w:color="auto"/>
            <w:left w:val="none" w:sz="0" w:space="0" w:color="auto"/>
            <w:bottom w:val="none" w:sz="0" w:space="0" w:color="auto"/>
            <w:right w:val="none" w:sz="0" w:space="0" w:color="auto"/>
          </w:divBdr>
        </w:div>
        <w:div w:id="2049453242">
          <w:marLeft w:val="0"/>
          <w:marRight w:val="0"/>
          <w:marTop w:val="0"/>
          <w:marBottom w:val="0"/>
          <w:divBdr>
            <w:top w:val="none" w:sz="0" w:space="0" w:color="auto"/>
            <w:left w:val="none" w:sz="0" w:space="0" w:color="auto"/>
            <w:bottom w:val="none" w:sz="0" w:space="0" w:color="auto"/>
            <w:right w:val="none" w:sz="0" w:space="0" w:color="auto"/>
          </w:divBdr>
        </w:div>
        <w:div w:id="1757166834">
          <w:marLeft w:val="0"/>
          <w:marRight w:val="0"/>
          <w:marTop w:val="0"/>
          <w:marBottom w:val="0"/>
          <w:divBdr>
            <w:top w:val="none" w:sz="0" w:space="0" w:color="auto"/>
            <w:left w:val="none" w:sz="0" w:space="0" w:color="auto"/>
            <w:bottom w:val="none" w:sz="0" w:space="0" w:color="auto"/>
            <w:right w:val="none" w:sz="0" w:space="0" w:color="auto"/>
          </w:divBdr>
        </w:div>
        <w:div w:id="704528339">
          <w:marLeft w:val="0"/>
          <w:marRight w:val="0"/>
          <w:marTop w:val="0"/>
          <w:marBottom w:val="0"/>
          <w:divBdr>
            <w:top w:val="none" w:sz="0" w:space="0" w:color="auto"/>
            <w:left w:val="none" w:sz="0" w:space="0" w:color="auto"/>
            <w:bottom w:val="none" w:sz="0" w:space="0" w:color="auto"/>
            <w:right w:val="none" w:sz="0" w:space="0" w:color="auto"/>
          </w:divBdr>
        </w:div>
        <w:div w:id="158927770">
          <w:marLeft w:val="0"/>
          <w:marRight w:val="0"/>
          <w:marTop w:val="0"/>
          <w:marBottom w:val="0"/>
          <w:divBdr>
            <w:top w:val="none" w:sz="0" w:space="0" w:color="auto"/>
            <w:left w:val="none" w:sz="0" w:space="0" w:color="auto"/>
            <w:bottom w:val="none" w:sz="0" w:space="0" w:color="auto"/>
            <w:right w:val="none" w:sz="0" w:space="0" w:color="auto"/>
          </w:divBdr>
        </w:div>
        <w:div w:id="293023636">
          <w:marLeft w:val="0"/>
          <w:marRight w:val="0"/>
          <w:marTop w:val="0"/>
          <w:marBottom w:val="0"/>
          <w:divBdr>
            <w:top w:val="none" w:sz="0" w:space="0" w:color="auto"/>
            <w:left w:val="none" w:sz="0" w:space="0" w:color="auto"/>
            <w:bottom w:val="none" w:sz="0" w:space="0" w:color="auto"/>
            <w:right w:val="none" w:sz="0" w:space="0" w:color="auto"/>
          </w:divBdr>
        </w:div>
      </w:divsChild>
    </w:div>
    <w:div w:id="1769353722">
      <w:bodyDiv w:val="1"/>
      <w:marLeft w:val="0"/>
      <w:marRight w:val="0"/>
      <w:marTop w:val="0"/>
      <w:marBottom w:val="0"/>
      <w:divBdr>
        <w:top w:val="none" w:sz="0" w:space="0" w:color="auto"/>
        <w:left w:val="none" w:sz="0" w:space="0" w:color="auto"/>
        <w:bottom w:val="none" w:sz="0" w:space="0" w:color="auto"/>
        <w:right w:val="none" w:sz="0" w:space="0" w:color="auto"/>
      </w:divBdr>
    </w:div>
    <w:div w:id="1772969512">
      <w:bodyDiv w:val="1"/>
      <w:marLeft w:val="0"/>
      <w:marRight w:val="0"/>
      <w:marTop w:val="0"/>
      <w:marBottom w:val="0"/>
      <w:divBdr>
        <w:top w:val="none" w:sz="0" w:space="0" w:color="auto"/>
        <w:left w:val="none" w:sz="0" w:space="0" w:color="auto"/>
        <w:bottom w:val="none" w:sz="0" w:space="0" w:color="auto"/>
        <w:right w:val="none" w:sz="0" w:space="0" w:color="auto"/>
      </w:divBdr>
    </w:div>
    <w:div w:id="1839923995">
      <w:bodyDiv w:val="1"/>
      <w:marLeft w:val="0"/>
      <w:marRight w:val="0"/>
      <w:marTop w:val="0"/>
      <w:marBottom w:val="0"/>
      <w:divBdr>
        <w:top w:val="none" w:sz="0" w:space="0" w:color="auto"/>
        <w:left w:val="none" w:sz="0" w:space="0" w:color="auto"/>
        <w:bottom w:val="none" w:sz="0" w:space="0" w:color="auto"/>
        <w:right w:val="none" w:sz="0" w:space="0" w:color="auto"/>
      </w:divBdr>
    </w:div>
    <w:div w:id="19346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C00-C39D-40BA-9ADA-D3EA3542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12</Pages>
  <Words>4741</Words>
  <Characters>26079</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Gunslay</dc:creator>
  <cp:lastModifiedBy>Moi</cp:lastModifiedBy>
  <cp:revision>8</cp:revision>
  <cp:lastPrinted>2022-10-03T09:30:00Z</cp:lastPrinted>
  <dcterms:created xsi:type="dcterms:W3CDTF">2022-11-16T11:02:00Z</dcterms:created>
  <dcterms:modified xsi:type="dcterms:W3CDTF">2022-11-17T17:17:00Z</dcterms:modified>
</cp:coreProperties>
</file>